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00" w:type="dxa"/>
        <w:tblCellSpacing w:w="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Layout w:type="autofit"/>
        <w:tblCellMar>
          <w:top w:w="0" w:type="dxa"/>
          <w:left w:w="10" w:type="dxa"/>
          <w:bottom w:w="0" w:type="dxa"/>
          <w:right w:w="10" w:type="dxa"/>
        </w:tblCellMar>
      </w:tblPr>
      <w:tblGrid>
        <w:gridCol w:w="2254"/>
        <w:gridCol w:w="6746"/>
      </w:tblGrid>
      <w:tr w14:paraId="7424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CellMar>
            <w:top w:w="0" w:type="dxa"/>
            <w:left w:w="10" w:type="dxa"/>
            <w:bottom w:w="0" w:type="dxa"/>
            <w:right w:w="10" w:type="dxa"/>
          </w:tblCellMar>
        </w:tblPrEx>
        <w:trPr>
          <w:tblCellSpacing w:w="60" w:type="dxa"/>
        </w:trPr>
        <w:tc>
          <w:tcPr>
            <w:tcW w:w="1200" w:type="pct"/>
            <w:shd w:val="clear" w:color="auto" w:fill="E7F0F9"/>
          </w:tcPr>
          <w:p w14:paraId="53CD3B08">
            <w:pPr>
              <w:spacing w:before="0" w:after="0" w:line="240" w:lineRule="auto"/>
              <w:jc w:val="left"/>
            </w:pPr>
            <w:bookmarkStart w:id="0" w:name="_GoBack"/>
            <w:bookmarkEnd w:id="0"/>
            <w:r>
              <w:rPr>
                <w:b/>
              </w:rPr>
              <w:t>RKP broj</w:t>
            </w:r>
          </w:p>
        </w:tc>
        <w:tc>
          <w:tcPr>
            <w:shd w:val="clear" w:color="auto" w:fill="E7F0F9"/>
          </w:tcPr>
          <w:p w14:paraId="666B4B33">
            <w:pPr>
              <w:spacing w:before="0" w:after="0" w:line="240" w:lineRule="auto"/>
              <w:jc w:val="left"/>
            </w:pPr>
            <w:r>
              <w:t>15995</w:t>
            </w:r>
          </w:p>
        </w:tc>
      </w:tr>
      <w:tr w14:paraId="20A5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CellMar>
            <w:top w:w="0" w:type="dxa"/>
            <w:left w:w="10" w:type="dxa"/>
            <w:bottom w:w="0" w:type="dxa"/>
            <w:right w:w="10" w:type="dxa"/>
          </w:tblCellMar>
        </w:tblPrEx>
        <w:trPr>
          <w:tblCellSpacing w:w="60" w:type="dxa"/>
        </w:trPr>
        <w:tc>
          <w:tcPr>
            <w:tcW w:w="1200" w:type="pct"/>
            <w:shd w:val="clear" w:color="auto" w:fill="E7F0F9"/>
          </w:tcPr>
          <w:p w14:paraId="4CC7875B">
            <w:pPr>
              <w:spacing w:before="0" w:after="0" w:line="240" w:lineRule="auto"/>
              <w:jc w:val="left"/>
            </w:pPr>
            <w:r>
              <w:rPr>
                <w:b/>
              </w:rPr>
              <w:t>Naziv obveznika</w:t>
            </w:r>
          </w:p>
        </w:tc>
        <w:tc>
          <w:tcPr>
            <w:shd w:val="clear" w:color="auto" w:fill="E7F0F9"/>
          </w:tcPr>
          <w:p w14:paraId="70D64D9D">
            <w:pPr>
              <w:spacing w:before="0" w:after="0" w:line="240" w:lineRule="auto"/>
              <w:jc w:val="left"/>
            </w:pPr>
            <w:r>
              <w:t>OSNOVNA ŠKOLA BEDEKOVČINA</w:t>
            </w:r>
          </w:p>
        </w:tc>
      </w:tr>
      <w:tr w14:paraId="29AA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CellMar>
            <w:top w:w="0" w:type="dxa"/>
            <w:left w:w="10" w:type="dxa"/>
            <w:bottom w:w="0" w:type="dxa"/>
            <w:right w:w="10" w:type="dxa"/>
          </w:tblCellMar>
        </w:tblPrEx>
        <w:trPr>
          <w:tblCellSpacing w:w="60" w:type="dxa"/>
        </w:trPr>
        <w:tc>
          <w:tcPr>
            <w:tcW w:w="1200" w:type="pct"/>
            <w:shd w:val="clear" w:color="auto" w:fill="E7F0F9"/>
          </w:tcPr>
          <w:p w14:paraId="47385556">
            <w:pPr>
              <w:spacing w:before="0" w:after="0" w:line="240" w:lineRule="auto"/>
              <w:jc w:val="left"/>
            </w:pPr>
            <w:r>
              <w:rPr>
                <w:b/>
              </w:rPr>
              <w:t>Razina</w:t>
            </w:r>
          </w:p>
        </w:tc>
        <w:tc>
          <w:tcPr>
            <w:shd w:val="clear" w:color="auto" w:fill="E7F0F9"/>
          </w:tcPr>
          <w:p w14:paraId="58FA5BC4">
            <w:pPr>
              <w:spacing w:before="0" w:after="0" w:line="240" w:lineRule="auto"/>
              <w:jc w:val="left"/>
            </w:pPr>
            <w:r>
              <w:t>31</w:t>
            </w:r>
          </w:p>
        </w:tc>
      </w:tr>
    </w:tbl>
    <w:p w14:paraId="7172563E">
      <w:r>
        <w:br w:type="textWrapping"/>
      </w:r>
    </w:p>
    <w:p w14:paraId="3F73D5A8">
      <w:pPr>
        <w:spacing w:line="240" w:lineRule="auto"/>
        <w:jc w:val="center"/>
      </w:pPr>
      <w:r>
        <w:rPr>
          <w:rFonts w:ascii="Times New Roman" w:hAnsi="Times New Roman"/>
          <w:b/>
          <w:sz w:val="28"/>
        </w:rPr>
        <w:t>BILJEŠKE UZ FINANCIJSKE IZVJEŠTAJE</w:t>
      </w:r>
    </w:p>
    <w:p w14:paraId="47BA331C">
      <w:pPr>
        <w:spacing w:line="240" w:lineRule="auto"/>
        <w:jc w:val="center"/>
      </w:pPr>
      <w:r>
        <w:rPr>
          <w:rFonts w:ascii="Times New Roman" w:hAnsi="Times New Roman"/>
          <w:b/>
          <w:sz w:val="28"/>
        </w:rPr>
        <w:t>ZA RAZDOBLJE</w:t>
      </w:r>
    </w:p>
    <w:p w14:paraId="3D38575A">
      <w:pPr>
        <w:spacing w:line="240" w:lineRule="auto"/>
        <w:jc w:val="center"/>
      </w:pPr>
      <w:r>
        <w:rPr>
          <w:rFonts w:ascii="Times New Roman" w:hAnsi="Times New Roman"/>
          <w:b/>
          <w:sz w:val="28"/>
        </w:rPr>
        <w:t>I - XII 2025.</w:t>
      </w:r>
    </w:p>
    <w:p w14:paraId="42927772"/>
    <w:p w14:paraId="50875A57">
      <w:pPr>
        <w:keepNext/>
        <w:spacing w:line="240" w:lineRule="auto"/>
        <w:jc w:val="center"/>
      </w:pPr>
      <w:r>
        <w:rPr>
          <w:rFonts w:ascii="Times New Roman" w:hAnsi="Times New Roman"/>
          <w:b/>
          <w:sz w:val="28"/>
        </w:rPr>
        <w:t>Izvještaj o prihodima i rashodima, primicima i izdacima</w:t>
      </w:r>
    </w:p>
    <w:p w14:paraId="03951C97">
      <w:pPr>
        <w:keepNext/>
        <w:spacing w:line="240" w:lineRule="auto"/>
        <w:jc w:val="center"/>
      </w:pPr>
      <w:r>
        <w:rPr>
          <w:rFonts w:ascii="Times New Roman" w:hAnsi="Times New Roman"/>
          <w:sz w:val="28"/>
        </w:rPr>
        <w:t>Bilješka 1.</w:t>
      </w:r>
    </w:p>
    <w:tbl>
      <w:tblPr>
        <w:tblStyle w:val="3"/>
        <w:tblW w:w="0" w:type="auto"/>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3CF1CAC7">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0A2D8E10">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24B2BB74">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F9C6962">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F4C3D5D">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046A57BC">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008CD722">
            <w:pPr>
              <w:keepNext/>
              <w:keepLines/>
              <w:spacing w:before="0" w:after="0" w:line="240" w:lineRule="auto"/>
              <w:jc w:val="center"/>
            </w:pPr>
            <w:r>
              <w:rPr>
                <w:rFonts w:ascii="Times New Roman" w:hAnsi="Times New Roman"/>
                <w:b/>
                <w:sz w:val="18"/>
              </w:rPr>
              <w:t>Indeks (%)</w:t>
            </w:r>
          </w:p>
        </w:tc>
      </w:tr>
      <w:tr w14:paraId="230938F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93BAF44">
            <w:pPr>
              <w:keepNext/>
              <w:keepLines/>
              <w:spacing w:before="0" w:after="0" w:line="240" w:lineRule="auto"/>
              <w:jc w:val="left"/>
            </w:pPr>
            <w:r>
              <w:rPr>
                <w:rFonts w:ascii="Times New Roman" w:hAnsi="Times New Roman"/>
                <w:sz w:val="18"/>
              </w:rPr>
              <w:t>6</w:t>
            </w:r>
          </w:p>
        </w:tc>
        <w:tc>
          <w:tcPr>
            <w:tcMar>
              <w:top w:w="0" w:type="dxa"/>
              <w:bottom w:w="0" w:type="dxa"/>
            </w:tcMar>
            <w:vAlign w:val="center"/>
          </w:tcPr>
          <w:p w14:paraId="5C75B70B">
            <w:pPr>
              <w:keepNext/>
              <w:keepLines/>
              <w:spacing w:before="0" w:after="0" w:line="240" w:lineRule="auto"/>
              <w:jc w:val="left"/>
            </w:pPr>
            <w:r>
              <w:rPr>
                <w:rFonts w:ascii="Times New Roman" w:hAnsi="Times New Roman"/>
                <w:sz w:val="18"/>
              </w:rPr>
              <w:t>PRIHODI POSLOVANJA (šifre 61+62+63+64+65+66+67+68)</w:t>
            </w:r>
          </w:p>
        </w:tc>
        <w:tc>
          <w:tcPr>
            <w:tcMar>
              <w:top w:w="0" w:type="dxa"/>
              <w:bottom w:w="0" w:type="dxa"/>
            </w:tcMar>
            <w:vAlign w:val="center"/>
          </w:tcPr>
          <w:p w14:paraId="1043C90E">
            <w:pPr>
              <w:keepNext/>
              <w:keepLines/>
              <w:spacing w:before="0" w:after="0" w:line="240" w:lineRule="auto"/>
              <w:jc w:val="left"/>
            </w:pPr>
            <w:r>
              <w:rPr>
                <w:rFonts w:ascii="Times New Roman" w:hAnsi="Times New Roman"/>
                <w:sz w:val="18"/>
              </w:rPr>
              <w:t>6</w:t>
            </w:r>
          </w:p>
        </w:tc>
        <w:tc>
          <w:tcPr>
            <w:tcMar>
              <w:top w:w="0" w:type="dxa"/>
              <w:bottom w:w="0" w:type="dxa"/>
            </w:tcMar>
            <w:vAlign w:val="center"/>
          </w:tcPr>
          <w:p w14:paraId="49C34E39">
            <w:pPr>
              <w:keepNext/>
              <w:keepLines/>
              <w:spacing w:before="0" w:after="0" w:line="240" w:lineRule="auto"/>
              <w:jc w:val="right"/>
            </w:pPr>
            <w:r>
              <w:rPr>
                <w:rFonts w:ascii="Times New Roman" w:hAnsi="Times New Roman"/>
                <w:sz w:val="18"/>
              </w:rPr>
              <w:t>1.912.737,70</w:t>
            </w:r>
          </w:p>
        </w:tc>
        <w:tc>
          <w:tcPr>
            <w:tcMar>
              <w:top w:w="0" w:type="dxa"/>
              <w:bottom w:w="0" w:type="dxa"/>
            </w:tcMar>
            <w:vAlign w:val="center"/>
          </w:tcPr>
          <w:p w14:paraId="1660A572">
            <w:pPr>
              <w:keepNext/>
              <w:keepLines/>
              <w:spacing w:before="0" w:after="0" w:line="240" w:lineRule="auto"/>
              <w:jc w:val="right"/>
            </w:pPr>
            <w:r>
              <w:rPr>
                <w:rFonts w:ascii="Times New Roman" w:hAnsi="Times New Roman"/>
                <w:sz w:val="18"/>
              </w:rPr>
              <w:t>2.085.680,71</w:t>
            </w:r>
          </w:p>
        </w:tc>
        <w:tc>
          <w:tcPr>
            <w:tcMar>
              <w:top w:w="0" w:type="dxa"/>
              <w:bottom w:w="0" w:type="dxa"/>
            </w:tcMar>
            <w:vAlign w:val="center"/>
          </w:tcPr>
          <w:p w14:paraId="4BE543BC">
            <w:pPr>
              <w:keepNext/>
              <w:keepLines/>
              <w:spacing w:before="0" w:after="0" w:line="240" w:lineRule="auto"/>
              <w:jc w:val="right"/>
            </w:pPr>
            <w:r>
              <w:rPr>
                <w:rFonts w:ascii="Times New Roman" w:hAnsi="Times New Roman"/>
                <w:sz w:val="18"/>
              </w:rPr>
              <w:t>109,0</w:t>
            </w:r>
          </w:p>
        </w:tc>
      </w:tr>
      <w:tr w14:paraId="11C8813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5A2B0DA">
            <w:pPr>
              <w:keepNext/>
              <w:keepLines/>
              <w:spacing w:before="0" w:after="0" w:line="240" w:lineRule="auto"/>
              <w:jc w:val="left"/>
            </w:pPr>
            <w:r>
              <w:rPr>
                <w:rFonts w:ascii="Times New Roman" w:hAnsi="Times New Roman"/>
                <w:sz w:val="18"/>
              </w:rPr>
              <w:t>3</w:t>
            </w:r>
          </w:p>
        </w:tc>
        <w:tc>
          <w:tcPr>
            <w:tcMar>
              <w:top w:w="0" w:type="dxa"/>
              <w:bottom w:w="0" w:type="dxa"/>
            </w:tcMar>
            <w:vAlign w:val="center"/>
          </w:tcPr>
          <w:p w14:paraId="43351A24">
            <w:pPr>
              <w:keepNext/>
              <w:keepLines/>
              <w:spacing w:before="0" w:after="0" w:line="240" w:lineRule="auto"/>
              <w:jc w:val="left"/>
            </w:pPr>
            <w:r>
              <w:rPr>
                <w:rFonts w:ascii="Times New Roman" w:hAnsi="Times New Roman"/>
                <w:sz w:val="18"/>
              </w:rPr>
              <w:t>RASHODI POSLOVANJA (šifre 31+32+34+35+36+37+38)</w:t>
            </w:r>
          </w:p>
        </w:tc>
        <w:tc>
          <w:tcPr>
            <w:tcMar>
              <w:top w:w="0" w:type="dxa"/>
              <w:bottom w:w="0" w:type="dxa"/>
            </w:tcMar>
            <w:vAlign w:val="center"/>
          </w:tcPr>
          <w:p w14:paraId="4147B6FB">
            <w:pPr>
              <w:keepNext/>
              <w:keepLines/>
              <w:spacing w:before="0" w:after="0" w:line="240" w:lineRule="auto"/>
              <w:jc w:val="left"/>
            </w:pPr>
            <w:r>
              <w:rPr>
                <w:rFonts w:ascii="Times New Roman" w:hAnsi="Times New Roman"/>
                <w:sz w:val="18"/>
              </w:rPr>
              <w:t>3</w:t>
            </w:r>
          </w:p>
        </w:tc>
        <w:tc>
          <w:tcPr>
            <w:tcMar>
              <w:top w:w="0" w:type="dxa"/>
              <w:bottom w:w="0" w:type="dxa"/>
            </w:tcMar>
            <w:vAlign w:val="center"/>
          </w:tcPr>
          <w:p w14:paraId="0C8587D0">
            <w:pPr>
              <w:keepNext/>
              <w:keepLines/>
              <w:spacing w:before="0" w:after="0" w:line="240" w:lineRule="auto"/>
              <w:jc w:val="right"/>
            </w:pPr>
            <w:r>
              <w:rPr>
                <w:rFonts w:ascii="Times New Roman" w:hAnsi="Times New Roman"/>
                <w:sz w:val="18"/>
              </w:rPr>
              <w:t>1.923.769,90</w:t>
            </w:r>
          </w:p>
        </w:tc>
        <w:tc>
          <w:tcPr>
            <w:tcMar>
              <w:top w:w="0" w:type="dxa"/>
              <w:bottom w:w="0" w:type="dxa"/>
            </w:tcMar>
            <w:vAlign w:val="center"/>
          </w:tcPr>
          <w:p w14:paraId="628F319F">
            <w:pPr>
              <w:keepNext/>
              <w:keepLines/>
              <w:spacing w:before="0" w:after="0" w:line="240" w:lineRule="auto"/>
              <w:jc w:val="right"/>
            </w:pPr>
            <w:r>
              <w:rPr>
                <w:rFonts w:ascii="Times New Roman" w:hAnsi="Times New Roman"/>
                <w:sz w:val="18"/>
              </w:rPr>
              <w:t>2.172.064,61</w:t>
            </w:r>
          </w:p>
        </w:tc>
        <w:tc>
          <w:tcPr>
            <w:tcMar>
              <w:top w:w="0" w:type="dxa"/>
              <w:bottom w:w="0" w:type="dxa"/>
            </w:tcMar>
            <w:vAlign w:val="center"/>
          </w:tcPr>
          <w:p w14:paraId="02E2DAD6">
            <w:pPr>
              <w:keepNext/>
              <w:keepLines/>
              <w:spacing w:before="0" w:after="0" w:line="240" w:lineRule="auto"/>
              <w:jc w:val="right"/>
            </w:pPr>
            <w:r>
              <w:rPr>
                <w:rFonts w:ascii="Times New Roman" w:hAnsi="Times New Roman"/>
                <w:sz w:val="18"/>
              </w:rPr>
              <w:t>112,9</w:t>
            </w:r>
          </w:p>
        </w:tc>
      </w:tr>
      <w:tr w14:paraId="2B3C714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31BC72EF">
            <w:pPr>
              <w:keepNext/>
              <w:keepLines/>
              <w:spacing w:before="0" w:after="0" w:line="240" w:lineRule="auto"/>
              <w:jc w:val="left"/>
            </w:pPr>
          </w:p>
        </w:tc>
        <w:tc>
          <w:tcPr>
            <w:tcMar>
              <w:top w:w="0" w:type="dxa"/>
              <w:bottom w:w="0" w:type="dxa"/>
            </w:tcMar>
            <w:vAlign w:val="center"/>
          </w:tcPr>
          <w:p w14:paraId="0DC19485">
            <w:pPr>
              <w:keepNext/>
              <w:keepLines/>
              <w:spacing w:before="0" w:after="0" w:line="240" w:lineRule="auto"/>
              <w:jc w:val="left"/>
            </w:pPr>
            <w:r>
              <w:rPr>
                <w:rFonts w:ascii="Times New Roman" w:hAnsi="Times New Roman"/>
                <w:b/>
                <w:sz w:val="18"/>
              </w:rPr>
              <w:t>MANJAK PRIHODA POSLOVANJA (šifre Z005-6)</w:t>
            </w:r>
          </w:p>
        </w:tc>
        <w:tc>
          <w:tcPr>
            <w:tcMar>
              <w:top w:w="0" w:type="dxa"/>
              <w:bottom w:w="0" w:type="dxa"/>
            </w:tcMar>
            <w:vAlign w:val="center"/>
          </w:tcPr>
          <w:p w14:paraId="5437F08F">
            <w:pPr>
              <w:keepNext/>
              <w:keepLines/>
              <w:spacing w:before="0" w:after="0" w:line="240" w:lineRule="auto"/>
              <w:jc w:val="left"/>
            </w:pPr>
            <w:r>
              <w:rPr>
                <w:rFonts w:ascii="Times New Roman" w:hAnsi="Times New Roman"/>
                <w:b/>
                <w:sz w:val="18"/>
              </w:rPr>
              <w:t>Y001</w:t>
            </w:r>
          </w:p>
        </w:tc>
        <w:tc>
          <w:tcPr>
            <w:tcMar>
              <w:top w:w="0" w:type="dxa"/>
              <w:bottom w:w="0" w:type="dxa"/>
            </w:tcMar>
            <w:vAlign w:val="center"/>
          </w:tcPr>
          <w:p w14:paraId="7968ED18">
            <w:pPr>
              <w:keepNext/>
              <w:keepLines/>
              <w:spacing w:before="0" w:after="0" w:line="240" w:lineRule="auto"/>
              <w:jc w:val="right"/>
            </w:pPr>
            <w:r>
              <w:rPr>
                <w:rFonts w:ascii="Times New Roman" w:hAnsi="Times New Roman"/>
                <w:b/>
                <w:sz w:val="18"/>
              </w:rPr>
              <w:t>11.032,20</w:t>
            </w:r>
          </w:p>
        </w:tc>
        <w:tc>
          <w:tcPr>
            <w:tcMar>
              <w:top w:w="0" w:type="dxa"/>
              <w:bottom w:w="0" w:type="dxa"/>
            </w:tcMar>
            <w:vAlign w:val="center"/>
          </w:tcPr>
          <w:p w14:paraId="00A35D90">
            <w:pPr>
              <w:keepNext/>
              <w:keepLines/>
              <w:spacing w:before="0" w:after="0" w:line="240" w:lineRule="auto"/>
              <w:jc w:val="right"/>
            </w:pPr>
            <w:r>
              <w:rPr>
                <w:rFonts w:ascii="Times New Roman" w:hAnsi="Times New Roman"/>
                <w:b/>
                <w:sz w:val="18"/>
              </w:rPr>
              <w:t>86.383,90</w:t>
            </w:r>
          </w:p>
        </w:tc>
        <w:tc>
          <w:tcPr>
            <w:tcMar>
              <w:top w:w="0" w:type="dxa"/>
              <w:bottom w:w="0" w:type="dxa"/>
            </w:tcMar>
            <w:vAlign w:val="center"/>
          </w:tcPr>
          <w:p w14:paraId="15538C66">
            <w:pPr>
              <w:keepNext/>
              <w:keepLines/>
              <w:spacing w:before="0" w:after="0" w:line="240" w:lineRule="auto"/>
              <w:jc w:val="right"/>
            </w:pPr>
            <w:r>
              <w:rPr>
                <w:rFonts w:ascii="Times New Roman" w:hAnsi="Times New Roman"/>
                <w:b/>
                <w:sz w:val="18"/>
              </w:rPr>
              <w:t>783,0</w:t>
            </w:r>
          </w:p>
        </w:tc>
      </w:tr>
      <w:tr w14:paraId="0DFBCCCA">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E0280A7">
            <w:pPr>
              <w:keepNext/>
              <w:keepLines/>
              <w:spacing w:before="0" w:after="0" w:line="240" w:lineRule="auto"/>
              <w:jc w:val="left"/>
            </w:pPr>
            <w:r>
              <w:rPr>
                <w:rFonts w:ascii="Times New Roman" w:hAnsi="Times New Roman"/>
                <w:sz w:val="18"/>
              </w:rPr>
              <w:t>7</w:t>
            </w:r>
          </w:p>
        </w:tc>
        <w:tc>
          <w:tcPr>
            <w:tcMar>
              <w:top w:w="0" w:type="dxa"/>
              <w:bottom w:w="0" w:type="dxa"/>
            </w:tcMar>
            <w:vAlign w:val="center"/>
          </w:tcPr>
          <w:p w14:paraId="01097F9F">
            <w:pPr>
              <w:keepNext/>
              <w:keepLines/>
              <w:spacing w:before="0" w:after="0" w:line="240" w:lineRule="auto"/>
              <w:jc w:val="left"/>
            </w:pPr>
            <w:r>
              <w:rPr>
                <w:rFonts w:ascii="Times New Roman" w:hAnsi="Times New Roman"/>
                <w:sz w:val="18"/>
              </w:rPr>
              <w:t>Prihodi od prodaje nefinancijske imovine (šifre 71+72+73+74)</w:t>
            </w:r>
          </w:p>
        </w:tc>
        <w:tc>
          <w:tcPr>
            <w:tcMar>
              <w:top w:w="0" w:type="dxa"/>
              <w:bottom w:w="0" w:type="dxa"/>
            </w:tcMar>
            <w:vAlign w:val="center"/>
          </w:tcPr>
          <w:p w14:paraId="5ACEAE81">
            <w:pPr>
              <w:keepNext/>
              <w:keepLines/>
              <w:spacing w:before="0" w:after="0" w:line="240" w:lineRule="auto"/>
              <w:jc w:val="left"/>
            </w:pPr>
            <w:r>
              <w:rPr>
                <w:rFonts w:ascii="Times New Roman" w:hAnsi="Times New Roman"/>
                <w:sz w:val="18"/>
              </w:rPr>
              <w:t>7</w:t>
            </w:r>
          </w:p>
        </w:tc>
        <w:tc>
          <w:tcPr>
            <w:tcMar>
              <w:top w:w="0" w:type="dxa"/>
              <w:bottom w:w="0" w:type="dxa"/>
            </w:tcMar>
            <w:vAlign w:val="center"/>
          </w:tcPr>
          <w:p w14:paraId="25EA37B3">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504607CF">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2E83715F">
            <w:pPr>
              <w:keepNext/>
              <w:keepLines/>
              <w:spacing w:before="0" w:after="0" w:line="240" w:lineRule="auto"/>
              <w:jc w:val="right"/>
            </w:pPr>
            <w:r>
              <w:rPr>
                <w:rFonts w:ascii="Times New Roman" w:hAnsi="Times New Roman"/>
                <w:sz w:val="18"/>
              </w:rPr>
              <w:t>-</w:t>
            </w:r>
          </w:p>
        </w:tc>
      </w:tr>
      <w:tr w14:paraId="582D9B6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7566163">
            <w:pPr>
              <w:keepNext/>
              <w:keepLines/>
              <w:spacing w:before="0" w:after="0" w:line="240" w:lineRule="auto"/>
              <w:jc w:val="left"/>
            </w:pPr>
            <w:r>
              <w:rPr>
                <w:rFonts w:ascii="Times New Roman" w:hAnsi="Times New Roman"/>
                <w:sz w:val="18"/>
              </w:rPr>
              <w:t>4</w:t>
            </w:r>
          </w:p>
        </w:tc>
        <w:tc>
          <w:tcPr>
            <w:tcMar>
              <w:top w:w="0" w:type="dxa"/>
              <w:bottom w:w="0" w:type="dxa"/>
            </w:tcMar>
            <w:vAlign w:val="center"/>
          </w:tcPr>
          <w:p w14:paraId="2EEC04A2">
            <w:pPr>
              <w:keepNext/>
              <w:keepLines/>
              <w:spacing w:before="0" w:after="0" w:line="240" w:lineRule="auto"/>
              <w:jc w:val="left"/>
            </w:pPr>
            <w:r>
              <w:rPr>
                <w:rFonts w:ascii="Times New Roman" w:hAnsi="Times New Roman"/>
                <w:sz w:val="18"/>
              </w:rPr>
              <w:t>Rashodi za nabavu nefinancijske imovine (šifre 41+42+43+44+45)</w:t>
            </w:r>
          </w:p>
        </w:tc>
        <w:tc>
          <w:tcPr>
            <w:tcMar>
              <w:top w:w="0" w:type="dxa"/>
              <w:bottom w:w="0" w:type="dxa"/>
            </w:tcMar>
            <w:vAlign w:val="center"/>
          </w:tcPr>
          <w:p w14:paraId="67945E9E">
            <w:pPr>
              <w:keepNext/>
              <w:keepLines/>
              <w:spacing w:before="0" w:after="0" w:line="240" w:lineRule="auto"/>
              <w:jc w:val="left"/>
            </w:pPr>
            <w:r>
              <w:rPr>
                <w:rFonts w:ascii="Times New Roman" w:hAnsi="Times New Roman"/>
                <w:sz w:val="18"/>
              </w:rPr>
              <w:t>4</w:t>
            </w:r>
          </w:p>
        </w:tc>
        <w:tc>
          <w:tcPr>
            <w:tcMar>
              <w:top w:w="0" w:type="dxa"/>
              <w:bottom w:w="0" w:type="dxa"/>
            </w:tcMar>
            <w:vAlign w:val="center"/>
          </w:tcPr>
          <w:p w14:paraId="264C0238">
            <w:pPr>
              <w:keepNext/>
              <w:keepLines/>
              <w:spacing w:before="0" w:after="0" w:line="240" w:lineRule="auto"/>
              <w:jc w:val="right"/>
            </w:pPr>
            <w:r>
              <w:rPr>
                <w:rFonts w:ascii="Times New Roman" w:hAnsi="Times New Roman"/>
                <w:sz w:val="18"/>
              </w:rPr>
              <w:t>13.702,09</w:t>
            </w:r>
          </w:p>
        </w:tc>
        <w:tc>
          <w:tcPr>
            <w:tcMar>
              <w:top w:w="0" w:type="dxa"/>
              <w:bottom w:w="0" w:type="dxa"/>
            </w:tcMar>
            <w:vAlign w:val="center"/>
          </w:tcPr>
          <w:p w14:paraId="7CF8365F">
            <w:pPr>
              <w:keepNext/>
              <w:keepLines/>
              <w:spacing w:before="0" w:after="0" w:line="240" w:lineRule="auto"/>
              <w:jc w:val="right"/>
            </w:pPr>
            <w:r>
              <w:rPr>
                <w:rFonts w:ascii="Times New Roman" w:hAnsi="Times New Roman"/>
                <w:sz w:val="18"/>
              </w:rPr>
              <w:t>69.176,08</w:t>
            </w:r>
          </w:p>
        </w:tc>
        <w:tc>
          <w:tcPr>
            <w:tcMar>
              <w:top w:w="0" w:type="dxa"/>
              <w:bottom w:w="0" w:type="dxa"/>
            </w:tcMar>
            <w:vAlign w:val="center"/>
          </w:tcPr>
          <w:p w14:paraId="55F03598">
            <w:pPr>
              <w:keepNext/>
              <w:keepLines/>
              <w:spacing w:before="0" w:after="0" w:line="240" w:lineRule="auto"/>
              <w:jc w:val="right"/>
            </w:pPr>
            <w:r>
              <w:rPr>
                <w:rFonts w:ascii="Times New Roman" w:hAnsi="Times New Roman"/>
                <w:sz w:val="18"/>
              </w:rPr>
              <w:t>504,9</w:t>
            </w:r>
          </w:p>
        </w:tc>
      </w:tr>
      <w:tr w14:paraId="605CAE3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C0FE161">
            <w:pPr>
              <w:keepNext/>
              <w:keepLines/>
              <w:spacing w:before="0" w:after="0" w:line="240" w:lineRule="auto"/>
              <w:jc w:val="left"/>
            </w:pPr>
          </w:p>
        </w:tc>
        <w:tc>
          <w:tcPr>
            <w:tcMar>
              <w:top w:w="0" w:type="dxa"/>
              <w:bottom w:w="0" w:type="dxa"/>
            </w:tcMar>
            <w:vAlign w:val="center"/>
          </w:tcPr>
          <w:p w14:paraId="3EB490FF">
            <w:pPr>
              <w:keepNext/>
              <w:keepLines/>
              <w:spacing w:before="0" w:after="0" w:line="240" w:lineRule="auto"/>
              <w:jc w:val="left"/>
            </w:pPr>
            <w:r>
              <w:rPr>
                <w:rFonts w:ascii="Times New Roman" w:hAnsi="Times New Roman"/>
                <w:b/>
                <w:sz w:val="18"/>
              </w:rPr>
              <w:t>MANJAK PRIHODA OD NEFINANCIJSKE IMOVINE (šifre 4-7)</w:t>
            </w:r>
          </w:p>
        </w:tc>
        <w:tc>
          <w:tcPr>
            <w:tcMar>
              <w:top w:w="0" w:type="dxa"/>
              <w:bottom w:w="0" w:type="dxa"/>
            </w:tcMar>
            <w:vAlign w:val="center"/>
          </w:tcPr>
          <w:p w14:paraId="4A11CCF3">
            <w:pPr>
              <w:keepNext/>
              <w:keepLines/>
              <w:spacing w:before="0" w:after="0" w:line="240" w:lineRule="auto"/>
              <w:jc w:val="left"/>
            </w:pPr>
            <w:r>
              <w:rPr>
                <w:rFonts w:ascii="Times New Roman" w:hAnsi="Times New Roman"/>
                <w:b/>
                <w:sz w:val="18"/>
              </w:rPr>
              <w:t>Y002</w:t>
            </w:r>
          </w:p>
        </w:tc>
        <w:tc>
          <w:tcPr>
            <w:tcMar>
              <w:top w:w="0" w:type="dxa"/>
              <w:bottom w:w="0" w:type="dxa"/>
            </w:tcMar>
            <w:vAlign w:val="center"/>
          </w:tcPr>
          <w:p w14:paraId="48830D55">
            <w:pPr>
              <w:keepNext/>
              <w:keepLines/>
              <w:spacing w:before="0" w:after="0" w:line="240" w:lineRule="auto"/>
              <w:jc w:val="right"/>
            </w:pPr>
            <w:r>
              <w:rPr>
                <w:rFonts w:ascii="Times New Roman" w:hAnsi="Times New Roman"/>
                <w:b/>
                <w:sz w:val="18"/>
              </w:rPr>
              <w:t>13.702,09</w:t>
            </w:r>
          </w:p>
        </w:tc>
        <w:tc>
          <w:tcPr>
            <w:tcMar>
              <w:top w:w="0" w:type="dxa"/>
              <w:bottom w:w="0" w:type="dxa"/>
            </w:tcMar>
            <w:vAlign w:val="center"/>
          </w:tcPr>
          <w:p w14:paraId="723B22A3">
            <w:pPr>
              <w:keepNext/>
              <w:keepLines/>
              <w:spacing w:before="0" w:after="0" w:line="240" w:lineRule="auto"/>
              <w:jc w:val="right"/>
            </w:pPr>
            <w:r>
              <w:rPr>
                <w:rFonts w:ascii="Times New Roman" w:hAnsi="Times New Roman"/>
                <w:b/>
                <w:sz w:val="18"/>
              </w:rPr>
              <w:t>69.176,08</w:t>
            </w:r>
          </w:p>
        </w:tc>
        <w:tc>
          <w:tcPr>
            <w:tcMar>
              <w:top w:w="0" w:type="dxa"/>
              <w:bottom w:w="0" w:type="dxa"/>
            </w:tcMar>
            <w:vAlign w:val="center"/>
          </w:tcPr>
          <w:p w14:paraId="7EAEF05C">
            <w:pPr>
              <w:keepNext/>
              <w:keepLines/>
              <w:spacing w:before="0" w:after="0" w:line="240" w:lineRule="auto"/>
              <w:jc w:val="right"/>
            </w:pPr>
            <w:r>
              <w:rPr>
                <w:rFonts w:ascii="Times New Roman" w:hAnsi="Times New Roman"/>
                <w:b/>
                <w:sz w:val="18"/>
              </w:rPr>
              <w:t>504,9</w:t>
            </w:r>
          </w:p>
        </w:tc>
      </w:tr>
      <w:tr w14:paraId="7F2145C0">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F7176E3">
            <w:pPr>
              <w:keepNext/>
              <w:keepLines/>
              <w:spacing w:before="0" w:after="0" w:line="240" w:lineRule="auto"/>
              <w:jc w:val="left"/>
            </w:pPr>
            <w:r>
              <w:rPr>
                <w:rFonts w:ascii="Times New Roman" w:hAnsi="Times New Roman"/>
                <w:sz w:val="18"/>
              </w:rPr>
              <w:t>8</w:t>
            </w:r>
          </w:p>
        </w:tc>
        <w:tc>
          <w:tcPr>
            <w:tcMar>
              <w:top w:w="0" w:type="dxa"/>
              <w:bottom w:w="0" w:type="dxa"/>
            </w:tcMar>
            <w:vAlign w:val="center"/>
          </w:tcPr>
          <w:p w14:paraId="05C88992">
            <w:pPr>
              <w:keepNext/>
              <w:keepLines/>
              <w:spacing w:before="0" w:after="0" w:line="240" w:lineRule="auto"/>
              <w:jc w:val="left"/>
            </w:pPr>
            <w:r>
              <w:rPr>
                <w:rFonts w:ascii="Times New Roman" w:hAnsi="Times New Roman"/>
                <w:sz w:val="18"/>
              </w:rPr>
              <w:t>Primici od financijske imovine i zaduživanja (šifre 81+82+83+84+85)</w:t>
            </w:r>
          </w:p>
        </w:tc>
        <w:tc>
          <w:tcPr>
            <w:tcMar>
              <w:top w:w="0" w:type="dxa"/>
              <w:bottom w:w="0" w:type="dxa"/>
            </w:tcMar>
            <w:vAlign w:val="center"/>
          </w:tcPr>
          <w:p w14:paraId="0C6FF7EE">
            <w:pPr>
              <w:keepNext/>
              <w:keepLines/>
              <w:spacing w:before="0" w:after="0" w:line="240" w:lineRule="auto"/>
              <w:jc w:val="left"/>
            </w:pPr>
            <w:r>
              <w:rPr>
                <w:rFonts w:ascii="Times New Roman" w:hAnsi="Times New Roman"/>
                <w:sz w:val="18"/>
              </w:rPr>
              <w:t>8</w:t>
            </w:r>
          </w:p>
        </w:tc>
        <w:tc>
          <w:tcPr>
            <w:tcMar>
              <w:top w:w="0" w:type="dxa"/>
              <w:bottom w:w="0" w:type="dxa"/>
            </w:tcMar>
            <w:vAlign w:val="center"/>
          </w:tcPr>
          <w:p w14:paraId="32974AE7">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3E5AA82C">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2D6AFCC3">
            <w:pPr>
              <w:keepNext/>
              <w:keepLines/>
              <w:spacing w:before="0" w:after="0" w:line="240" w:lineRule="auto"/>
              <w:jc w:val="right"/>
            </w:pPr>
            <w:r>
              <w:rPr>
                <w:rFonts w:ascii="Times New Roman" w:hAnsi="Times New Roman"/>
                <w:sz w:val="18"/>
              </w:rPr>
              <w:t>-</w:t>
            </w:r>
          </w:p>
        </w:tc>
      </w:tr>
      <w:tr w14:paraId="65807126">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1B5BEA0A">
            <w:pPr>
              <w:keepNext/>
              <w:keepLines/>
              <w:spacing w:before="0" w:after="0" w:line="240" w:lineRule="auto"/>
              <w:jc w:val="left"/>
            </w:pPr>
            <w:r>
              <w:rPr>
                <w:rFonts w:ascii="Times New Roman" w:hAnsi="Times New Roman"/>
                <w:sz w:val="18"/>
              </w:rPr>
              <w:t>5</w:t>
            </w:r>
          </w:p>
        </w:tc>
        <w:tc>
          <w:tcPr>
            <w:tcMar>
              <w:top w:w="0" w:type="dxa"/>
              <w:bottom w:w="0" w:type="dxa"/>
            </w:tcMar>
            <w:vAlign w:val="center"/>
          </w:tcPr>
          <w:p w14:paraId="76C9B4E9">
            <w:pPr>
              <w:keepNext/>
              <w:keepLines/>
              <w:spacing w:before="0" w:after="0" w:line="240" w:lineRule="auto"/>
              <w:jc w:val="left"/>
            </w:pPr>
            <w:r>
              <w:rPr>
                <w:rFonts w:ascii="Times New Roman" w:hAnsi="Times New Roman"/>
                <w:sz w:val="18"/>
              </w:rPr>
              <w:t>Izdaci za financijsku imovinu i otplate zajmova (šifre 51+52+53+54+55)</w:t>
            </w:r>
          </w:p>
        </w:tc>
        <w:tc>
          <w:tcPr>
            <w:tcMar>
              <w:top w:w="0" w:type="dxa"/>
              <w:bottom w:w="0" w:type="dxa"/>
            </w:tcMar>
            <w:vAlign w:val="center"/>
          </w:tcPr>
          <w:p w14:paraId="05B32C31">
            <w:pPr>
              <w:keepNext/>
              <w:keepLines/>
              <w:spacing w:before="0" w:after="0" w:line="240" w:lineRule="auto"/>
              <w:jc w:val="left"/>
            </w:pPr>
            <w:r>
              <w:rPr>
                <w:rFonts w:ascii="Times New Roman" w:hAnsi="Times New Roman"/>
                <w:sz w:val="18"/>
              </w:rPr>
              <w:t>5</w:t>
            </w:r>
          </w:p>
        </w:tc>
        <w:tc>
          <w:tcPr>
            <w:tcMar>
              <w:top w:w="0" w:type="dxa"/>
              <w:bottom w:w="0" w:type="dxa"/>
            </w:tcMar>
            <w:vAlign w:val="center"/>
          </w:tcPr>
          <w:p w14:paraId="31CCB172">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50D3808B">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77320B73">
            <w:pPr>
              <w:keepNext/>
              <w:keepLines/>
              <w:spacing w:before="0" w:after="0" w:line="240" w:lineRule="auto"/>
              <w:jc w:val="right"/>
            </w:pPr>
            <w:r>
              <w:rPr>
                <w:rFonts w:ascii="Times New Roman" w:hAnsi="Times New Roman"/>
                <w:sz w:val="18"/>
              </w:rPr>
              <w:t>-</w:t>
            </w:r>
          </w:p>
        </w:tc>
      </w:tr>
      <w:tr w14:paraId="5DC303F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439BB20">
            <w:pPr>
              <w:keepNext/>
              <w:keepLines/>
              <w:spacing w:before="0" w:after="0" w:line="240" w:lineRule="auto"/>
              <w:jc w:val="left"/>
            </w:pPr>
          </w:p>
        </w:tc>
        <w:tc>
          <w:tcPr>
            <w:tcMar>
              <w:top w:w="0" w:type="dxa"/>
              <w:bottom w:w="0" w:type="dxa"/>
            </w:tcMar>
            <w:vAlign w:val="center"/>
          </w:tcPr>
          <w:p w14:paraId="79EE8F3B">
            <w:pPr>
              <w:keepNext/>
              <w:keepLines/>
              <w:spacing w:before="0" w:after="0" w:line="240" w:lineRule="auto"/>
              <w:jc w:val="left"/>
            </w:pPr>
            <w:r>
              <w:rPr>
                <w:rFonts w:ascii="Times New Roman" w:hAnsi="Times New Roman"/>
                <w:b/>
                <w:sz w:val="18"/>
              </w:rPr>
              <w:t>VIŠAK/MANJAK PRIMITAKA OD FINANCIJSKE IMOVINE I ZADUŽIVANJA (šifre 8-5, 5-8)</w:t>
            </w:r>
          </w:p>
        </w:tc>
        <w:tc>
          <w:tcPr>
            <w:tcMar>
              <w:top w:w="0" w:type="dxa"/>
              <w:bottom w:w="0" w:type="dxa"/>
            </w:tcMar>
            <w:vAlign w:val="center"/>
          </w:tcPr>
          <w:p w14:paraId="7B5AB4D5">
            <w:pPr>
              <w:keepNext/>
              <w:keepLines/>
              <w:spacing w:before="0" w:after="0" w:line="240" w:lineRule="auto"/>
              <w:jc w:val="left"/>
            </w:pPr>
            <w:r>
              <w:rPr>
                <w:rFonts w:ascii="Times New Roman" w:hAnsi="Times New Roman"/>
                <w:b/>
                <w:sz w:val="18"/>
              </w:rPr>
              <w:t>X003, Y003</w:t>
            </w:r>
          </w:p>
        </w:tc>
        <w:tc>
          <w:tcPr>
            <w:tcMar>
              <w:top w:w="0" w:type="dxa"/>
              <w:bottom w:w="0" w:type="dxa"/>
            </w:tcMar>
            <w:vAlign w:val="center"/>
          </w:tcPr>
          <w:p w14:paraId="6D58E171">
            <w:pPr>
              <w:keepNext/>
              <w:keepLines/>
              <w:spacing w:before="0" w:after="0" w:line="240" w:lineRule="auto"/>
              <w:jc w:val="right"/>
            </w:pPr>
            <w:r>
              <w:rPr>
                <w:rFonts w:ascii="Times New Roman" w:hAnsi="Times New Roman"/>
                <w:b/>
                <w:sz w:val="18"/>
              </w:rPr>
              <w:t>0,00</w:t>
            </w:r>
          </w:p>
        </w:tc>
        <w:tc>
          <w:tcPr>
            <w:tcMar>
              <w:top w:w="0" w:type="dxa"/>
              <w:bottom w:w="0" w:type="dxa"/>
            </w:tcMar>
            <w:vAlign w:val="center"/>
          </w:tcPr>
          <w:p w14:paraId="7B22F9F8">
            <w:pPr>
              <w:keepNext/>
              <w:keepLines/>
              <w:spacing w:before="0" w:after="0" w:line="240" w:lineRule="auto"/>
              <w:jc w:val="right"/>
            </w:pPr>
            <w:r>
              <w:rPr>
                <w:rFonts w:ascii="Times New Roman" w:hAnsi="Times New Roman"/>
                <w:b/>
                <w:sz w:val="18"/>
              </w:rPr>
              <w:t>0,00</w:t>
            </w:r>
          </w:p>
        </w:tc>
        <w:tc>
          <w:tcPr>
            <w:tcMar>
              <w:top w:w="0" w:type="dxa"/>
              <w:bottom w:w="0" w:type="dxa"/>
            </w:tcMar>
            <w:vAlign w:val="center"/>
          </w:tcPr>
          <w:p w14:paraId="0090E769">
            <w:pPr>
              <w:keepNext/>
              <w:keepLines/>
              <w:spacing w:before="0" w:after="0" w:line="240" w:lineRule="auto"/>
              <w:jc w:val="right"/>
            </w:pPr>
            <w:r>
              <w:rPr>
                <w:rFonts w:ascii="Times New Roman" w:hAnsi="Times New Roman"/>
                <w:b/>
                <w:sz w:val="18"/>
              </w:rPr>
              <w:t>-</w:t>
            </w:r>
          </w:p>
        </w:tc>
      </w:tr>
      <w:tr w14:paraId="3B1F915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20A67C6">
            <w:pPr>
              <w:keepNext/>
              <w:keepLines/>
              <w:spacing w:before="0" w:after="0" w:line="240" w:lineRule="auto"/>
              <w:jc w:val="left"/>
            </w:pPr>
          </w:p>
        </w:tc>
        <w:tc>
          <w:tcPr>
            <w:tcMar>
              <w:top w:w="0" w:type="dxa"/>
              <w:bottom w:w="0" w:type="dxa"/>
            </w:tcMar>
            <w:vAlign w:val="center"/>
          </w:tcPr>
          <w:p w14:paraId="473466EC">
            <w:pPr>
              <w:keepNext/>
              <w:keepLines/>
              <w:spacing w:before="0" w:after="0" w:line="240" w:lineRule="auto"/>
              <w:jc w:val="left"/>
            </w:pPr>
            <w:r>
              <w:rPr>
                <w:rFonts w:ascii="Times New Roman" w:hAnsi="Times New Roman"/>
                <w:b/>
                <w:sz w:val="18"/>
              </w:rPr>
              <w:t>MANJAK PRIHODA I PRIMITAKA (šifre Y345-X678)</w:t>
            </w:r>
          </w:p>
        </w:tc>
        <w:tc>
          <w:tcPr>
            <w:tcMar>
              <w:top w:w="0" w:type="dxa"/>
              <w:bottom w:w="0" w:type="dxa"/>
            </w:tcMar>
            <w:vAlign w:val="center"/>
          </w:tcPr>
          <w:p w14:paraId="62F31919">
            <w:pPr>
              <w:keepNext/>
              <w:keepLines/>
              <w:spacing w:before="0" w:after="0" w:line="240" w:lineRule="auto"/>
              <w:jc w:val="left"/>
            </w:pPr>
            <w:r>
              <w:rPr>
                <w:rFonts w:ascii="Times New Roman" w:hAnsi="Times New Roman"/>
                <w:b/>
                <w:sz w:val="18"/>
              </w:rPr>
              <w:t>Y005</w:t>
            </w:r>
          </w:p>
        </w:tc>
        <w:tc>
          <w:tcPr>
            <w:tcMar>
              <w:top w:w="0" w:type="dxa"/>
              <w:bottom w:w="0" w:type="dxa"/>
            </w:tcMar>
            <w:vAlign w:val="center"/>
          </w:tcPr>
          <w:p w14:paraId="0376449A">
            <w:pPr>
              <w:keepNext/>
              <w:keepLines/>
              <w:spacing w:before="0" w:after="0" w:line="240" w:lineRule="auto"/>
              <w:jc w:val="right"/>
            </w:pPr>
            <w:r>
              <w:rPr>
                <w:rFonts w:ascii="Times New Roman" w:hAnsi="Times New Roman"/>
                <w:b/>
                <w:sz w:val="18"/>
              </w:rPr>
              <w:t>24.734,29</w:t>
            </w:r>
          </w:p>
        </w:tc>
        <w:tc>
          <w:tcPr>
            <w:tcMar>
              <w:top w:w="0" w:type="dxa"/>
              <w:bottom w:w="0" w:type="dxa"/>
            </w:tcMar>
            <w:vAlign w:val="center"/>
          </w:tcPr>
          <w:p w14:paraId="4BD7072A">
            <w:pPr>
              <w:keepNext/>
              <w:keepLines/>
              <w:spacing w:before="0" w:after="0" w:line="240" w:lineRule="auto"/>
              <w:jc w:val="right"/>
            </w:pPr>
            <w:r>
              <w:rPr>
                <w:rFonts w:ascii="Times New Roman" w:hAnsi="Times New Roman"/>
                <w:b/>
                <w:sz w:val="18"/>
              </w:rPr>
              <w:t>155.559,98</w:t>
            </w:r>
          </w:p>
        </w:tc>
        <w:tc>
          <w:tcPr>
            <w:tcMar>
              <w:top w:w="0" w:type="dxa"/>
              <w:bottom w:w="0" w:type="dxa"/>
            </w:tcMar>
            <w:vAlign w:val="center"/>
          </w:tcPr>
          <w:p w14:paraId="69B19939">
            <w:pPr>
              <w:keepNext/>
              <w:keepLines/>
              <w:spacing w:before="0" w:after="0" w:line="240" w:lineRule="auto"/>
              <w:jc w:val="right"/>
            </w:pPr>
            <w:r>
              <w:rPr>
                <w:rFonts w:ascii="Times New Roman" w:hAnsi="Times New Roman"/>
                <w:b/>
                <w:sz w:val="18"/>
              </w:rPr>
              <w:t>628,9</w:t>
            </w:r>
          </w:p>
        </w:tc>
      </w:tr>
    </w:tbl>
    <w:p w14:paraId="14CB0825">
      <w:pPr>
        <w:spacing w:before="0" w:after="0"/>
      </w:pPr>
    </w:p>
    <w:p w14:paraId="37C4F6F5">
      <w:r>
        <w:t>Manjak prihoda poslovanja odnosi se na plaću za prosinac,   a isplaćena je  u siječnju 2026, materijalno financijske rashode koji su podmireni tijekom siječnja. Manjak prihoda od nefinancijske imovine knjižen je  na razredu konta 6, a korekcijom rezultata podmiren je manjak .</w:t>
      </w:r>
    </w:p>
    <w:p w14:paraId="1EA3AA34">
      <w:r>
        <w:br w:type="textWrapping"/>
      </w:r>
    </w:p>
    <w:p w14:paraId="1D484B15">
      <w:pPr>
        <w:keepNext/>
        <w:spacing w:line="240" w:lineRule="auto"/>
        <w:jc w:val="center"/>
      </w:pPr>
      <w:r>
        <w:rPr>
          <w:rFonts w:ascii="Times New Roman" w:hAnsi="Times New Roman"/>
          <w:sz w:val="28"/>
        </w:rPr>
        <w:t>Bilješka 2.</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9D81A6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6007061">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73838291">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4866B3FC">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07EFCDB6">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57E14A98">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765E1D9">
            <w:pPr>
              <w:keepNext/>
              <w:keepLines/>
              <w:spacing w:before="0" w:after="0" w:line="240" w:lineRule="auto"/>
              <w:jc w:val="center"/>
            </w:pPr>
            <w:r>
              <w:rPr>
                <w:rFonts w:ascii="Times New Roman" w:hAnsi="Times New Roman"/>
                <w:b/>
                <w:sz w:val="18"/>
              </w:rPr>
              <w:t>Indeks (%)</w:t>
            </w:r>
          </w:p>
        </w:tc>
      </w:tr>
      <w:tr w14:paraId="4AC5449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D8D775A">
            <w:pPr>
              <w:keepNext/>
              <w:keepLines/>
              <w:spacing w:before="0" w:after="0" w:line="240" w:lineRule="auto"/>
              <w:jc w:val="left"/>
            </w:pPr>
            <w:r>
              <w:rPr>
                <w:rFonts w:ascii="Times New Roman" w:hAnsi="Times New Roman"/>
                <w:sz w:val="18"/>
              </w:rPr>
              <w:t>6361</w:t>
            </w:r>
          </w:p>
        </w:tc>
        <w:tc>
          <w:tcPr>
            <w:tcMar>
              <w:top w:w="0" w:type="dxa"/>
              <w:bottom w:w="0" w:type="dxa"/>
            </w:tcMar>
            <w:vAlign w:val="center"/>
          </w:tcPr>
          <w:p w14:paraId="5B66541B">
            <w:pPr>
              <w:keepNext/>
              <w:keepLines/>
              <w:spacing w:before="0" w:after="0" w:line="240" w:lineRule="auto"/>
              <w:jc w:val="left"/>
            </w:pPr>
            <w:r>
              <w:rPr>
                <w:rFonts w:ascii="Times New Roman" w:hAnsi="Times New Roman"/>
                <w:sz w:val="18"/>
              </w:rPr>
              <w:t>Tekuće pomoći proračunskim korisnicima iz proračuna koji im nije nadležan</w:t>
            </w:r>
          </w:p>
        </w:tc>
        <w:tc>
          <w:tcPr>
            <w:tcMar>
              <w:top w:w="0" w:type="dxa"/>
              <w:bottom w:w="0" w:type="dxa"/>
            </w:tcMar>
            <w:vAlign w:val="center"/>
          </w:tcPr>
          <w:p w14:paraId="0539BC06">
            <w:pPr>
              <w:keepNext/>
              <w:keepLines/>
              <w:spacing w:before="0" w:after="0" w:line="240" w:lineRule="auto"/>
              <w:jc w:val="left"/>
            </w:pPr>
            <w:r>
              <w:rPr>
                <w:rFonts w:ascii="Times New Roman" w:hAnsi="Times New Roman"/>
                <w:sz w:val="18"/>
              </w:rPr>
              <w:t>6361</w:t>
            </w:r>
          </w:p>
        </w:tc>
        <w:tc>
          <w:tcPr>
            <w:tcMar>
              <w:top w:w="0" w:type="dxa"/>
              <w:bottom w:w="0" w:type="dxa"/>
            </w:tcMar>
            <w:vAlign w:val="center"/>
          </w:tcPr>
          <w:p w14:paraId="7B3BF5BC">
            <w:pPr>
              <w:keepNext/>
              <w:keepLines/>
              <w:spacing w:before="0" w:after="0" w:line="240" w:lineRule="auto"/>
              <w:jc w:val="right"/>
            </w:pPr>
            <w:r>
              <w:rPr>
                <w:rFonts w:ascii="Times New Roman" w:hAnsi="Times New Roman"/>
                <w:sz w:val="18"/>
              </w:rPr>
              <w:t>1.684.672,92</w:t>
            </w:r>
          </w:p>
        </w:tc>
        <w:tc>
          <w:tcPr>
            <w:tcMar>
              <w:top w:w="0" w:type="dxa"/>
              <w:bottom w:w="0" w:type="dxa"/>
            </w:tcMar>
            <w:vAlign w:val="center"/>
          </w:tcPr>
          <w:p w14:paraId="3C1C87A6">
            <w:pPr>
              <w:keepNext/>
              <w:keepLines/>
              <w:spacing w:before="0" w:after="0" w:line="240" w:lineRule="auto"/>
              <w:jc w:val="right"/>
            </w:pPr>
            <w:r>
              <w:rPr>
                <w:rFonts w:ascii="Times New Roman" w:hAnsi="Times New Roman"/>
                <w:sz w:val="18"/>
              </w:rPr>
              <w:t>1.822.863,72</w:t>
            </w:r>
          </w:p>
        </w:tc>
        <w:tc>
          <w:tcPr>
            <w:tcMar>
              <w:top w:w="0" w:type="dxa"/>
              <w:bottom w:w="0" w:type="dxa"/>
            </w:tcMar>
            <w:vAlign w:val="center"/>
          </w:tcPr>
          <w:p w14:paraId="02464011">
            <w:pPr>
              <w:keepNext/>
              <w:keepLines/>
              <w:spacing w:before="0" w:after="0" w:line="240" w:lineRule="auto"/>
              <w:jc w:val="right"/>
            </w:pPr>
            <w:r>
              <w:rPr>
                <w:rFonts w:ascii="Times New Roman" w:hAnsi="Times New Roman"/>
                <w:sz w:val="18"/>
              </w:rPr>
              <w:t>108,2</w:t>
            </w:r>
          </w:p>
        </w:tc>
      </w:tr>
    </w:tbl>
    <w:p w14:paraId="1229C075">
      <w:pPr>
        <w:spacing w:before="0" w:after="0"/>
      </w:pPr>
    </w:p>
    <w:p w14:paraId="396AC682">
      <w:r>
        <w:t>Sredstva  iz proračuna za plaće, prijevoz zaposlenika, te sredstva za ostale rashode za zaposlene , a to su jubilarne nagrade, pomoći, dar djeci, božičnica, regres, otpremnine, uskrsnica.</w:t>
      </w:r>
    </w:p>
    <w:p w14:paraId="099F6B17">
      <w:r>
        <w:t>Sredstva općinskog proračna za sufinaciranje plaće djelatnice u produženom boravku i sufinanciranje pomoćnika u nastavi, te projekt Težimo izvrsnosti.</w:t>
      </w:r>
    </w:p>
    <w:p w14:paraId="5301D9FA"/>
    <w:p w14:paraId="1D67F3D5">
      <w:pPr>
        <w:keepNext/>
        <w:spacing w:line="240" w:lineRule="auto"/>
        <w:jc w:val="center"/>
      </w:pPr>
      <w:r>
        <w:rPr>
          <w:rFonts w:ascii="Times New Roman" w:hAnsi="Times New Roman"/>
          <w:sz w:val="28"/>
        </w:rPr>
        <w:t>Bilješka 3.</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7C99B28A">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259FFA3">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7BCF151">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21389D88">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83E8D86">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0339162B">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690DF591">
            <w:pPr>
              <w:keepNext/>
              <w:keepLines/>
              <w:spacing w:before="0" w:after="0" w:line="240" w:lineRule="auto"/>
              <w:jc w:val="center"/>
            </w:pPr>
            <w:r>
              <w:rPr>
                <w:rFonts w:ascii="Times New Roman" w:hAnsi="Times New Roman"/>
                <w:b/>
                <w:sz w:val="18"/>
              </w:rPr>
              <w:t>Indeks (%)</w:t>
            </w:r>
          </w:p>
        </w:tc>
      </w:tr>
      <w:tr w14:paraId="6EC84DDF">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8623D0A">
            <w:pPr>
              <w:keepNext/>
              <w:keepLines/>
              <w:spacing w:before="0" w:after="0" w:line="240" w:lineRule="auto"/>
              <w:jc w:val="left"/>
            </w:pPr>
            <w:r>
              <w:rPr>
                <w:rFonts w:ascii="Times New Roman" w:hAnsi="Times New Roman"/>
                <w:sz w:val="18"/>
              </w:rPr>
              <w:t>6381</w:t>
            </w:r>
          </w:p>
        </w:tc>
        <w:tc>
          <w:tcPr>
            <w:tcMar>
              <w:top w:w="0" w:type="dxa"/>
              <w:bottom w:w="0" w:type="dxa"/>
            </w:tcMar>
            <w:vAlign w:val="center"/>
          </w:tcPr>
          <w:p w14:paraId="5198A26E">
            <w:pPr>
              <w:keepNext/>
              <w:keepLines/>
              <w:spacing w:before="0" w:after="0" w:line="240" w:lineRule="auto"/>
              <w:jc w:val="left"/>
            </w:pPr>
            <w:r>
              <w:rPr>
                <w:rFonts w:ascii="Times New Roman" w:hAnsi="Times New Roman"/>
                <w:sz w:val="18"/>
              </w:rPr>
              <w:t>Tekuće pomoći temeljem prijenosa EU sredstava</w:t>
            </w:r>
          </w:p>
        </w:tc>
        <w:tc>
          <w:tcPr>
            <w:tcMar>
              <w:top w:w="0" w:type="dxa"/>
              <w:bottom w:w="0" w:type="dxa"/>
            </w:tcMar>
            <w:vAlign w:val="center"/>
          </w:tcPr>
          <w:p w14:paraId="22E67A1E">
            <w:pPr>
              <w:keepNext/>
              <w:keepLines/>
              <w:spacing w:before="0" w:after="0" w:line="240" w:lineRule="auto"/>
              <w:jc w:val="left"/>
            </w:pPr>
            <w:r>
              <w:rPr>
                <w:rFonts w:ascii="Times New Roman" w:hAnsi="Times New Roman"/>
                <w:sz w:val="18"/>
              </w:rPr>
              <w:t>6381</w:t>
            </w:r>
          </w:p>
        </w:tc>
        <w:tc>
          <w:tcPr>
            <w:tcMar>
              <w:top w:w="0" w:type="dxa"/>
              <w:bottom w:w="0" w:type="dxa"/>
            </w:tcMar>
            <w:vAlign w:val="center"/>
          </w:tcPr>
          <w:p w14:paraId="5EB87B7C">
            <w:pPr>
              <w:keepNext/>
              <w:keepLines/>
              <w:spacing w:before="0" w:after="0" w:line="240" w:lineRule="auto"/>
              <w:jc w:val="right"/>
            </w:pPr>
            <w:r>
              <w:rPr>
                <w:rFonts w:ascii="Times New Roman" w:hAnsi="Times New Roman"/>
                <w:sz w:val="18"/>
              </w:rPr>
              <w:t>31.050,08</w:t>
            </w:r>
          </w:p>
        </w:tc>
        <w:tc>
          <w:tcPr>
            <w:tcMar>
              <w:top w:w="0" w:type="dxa"/>
              <w:bottom w:w="0" w:type="dxa"/>
            </w:tcMar>
            <w:vAlign w:val="center"/>
          </w:tcPr>
          <w:p w14:paraId="55416CA7">
            <w:pPr>
              <w:keepNext/>
              <w:keepLines/>
              <w:spacing w:before="0" w:after="0" w:line="240" w:lineRule="auto"/>
              <w:jc w:val="right"/>
            </w:pPr>
            <w:r>
              <w:rPr>
                <w:rFonts w:ascii="Times New Roman" w:hAnsi="Times New Roman"/>
                <w:sz w:val="18"/>
              </w:rPr>
              <w:t>31.926,80</w:t>
            </w:r>
          </w:p>
        </w:tc>
        <w:tc>
          <w:tcPr>
            <w:tcMar>
              <w:top w:w="0" w:type="dxa"/>
              <w:bottom w:w="0" w:type="dxa"/>
            </w:tcMar>
            <w:vAlign w:val="center"/>
          </w:tcPr>
          <w:p w14:paraId="053CEA8F">
            <w:pPr>
              <w:keepNext/>
              <w:keepLines/>
              <w:spacing w:before="0" w:after="0" w:line="240" w:lineRule="auto"/>
              <w:jc w:val="right"/>
            </w:pPr>
            <w:r>
              <w:rPr>
                <w:rFonts w:ascii="Times New Roman" w:hAnsi="Times New Roman"/>
                <w:sz w:val="18"/>
              </w:rPr>
              <w:t>102,8</w:t>
            </w:r>
          </w:p>
        </w:tc>
      </w:tr>
    </w:tbl>
    <w:p w14:paraId="1752DEE5">
      <w:pPr>
        <w:spacing w:before="0" w:after="0"/>
      </w:pPr>
    </w:p>
    <w:p w14:paraId="688DBAC8">
      <w:r>
        <w:t>Sredstva za projekt Erasmus +</w:t>
      </w:r>
    </w:p>
    <w:p w14:paraId="645505F1"/>
    <w:p w14:paraId="0F77E36A">
      <w:pPr>
        <w:keepNext/>
        <w:spacing w:line="240" w:lineRule="auto"/>
        <w:jc w:val="center"/>
      </w:pPr>
      <w:r>
        <w:rPr>
          <w:rFonts w:ascii="Times New Roman" w:hAnsi="Times New Roman"/>
          <w:sz w:val="28"/>
        </w:rPr>
        <w:t>Bilješka 4.</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6DD5C78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6310CCF3">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667B8266">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9A0A952">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5902A4E5">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72E0850A">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586B589F">
            <w:pPr>
              <w:keepNext/>
              <w:keepLines/>
              <w:spacing w:before="0" w:after="0" w:line="240" w:lineRule="auto"/>
              <w:jc w:val="center"/>
            </w:pPr>
            <w:r>
              <w:rPr>
                <w:rFonts w:ascii="Times New Roman" w:hAnsi="Times New Roman"/>
                <w:b/>
                <w:sz w:val="18"/>
              </w:rPr>
              <w:t>Indeks (%)</w:t>
            </w:r>
          </w:p>
        </w:tc>
      </w:tr>
      <w:tr w14:paraId="6063944F">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3BF6E05">
            <w:pPr>
              <w:keepNext/>
              <w:keepLines/>
              <w:spacing w:before="0" w:after="0" w:line="240" w:lineRule="auto"/>
              <w:jc w:val="left"/>
            </w:pPr>
            <w:r>
              <w:rPr>
                <w:rFonts w:ascii="Times New Roman" w:hAnsi="Times New Roman"/>
                <w:sz w:val="18"/>
              </w:rPr>
              <w:t>6382</w:t>
            </w:r>
          </w:p>
        </w:tc>
        <w:tc>
          <w:tcPr>
            <w:tcMar>
              <w:top w:w="0" w:type="dxa"/>
              <w:bottom w:w="0" w:type="dxa"/>
            </w:tcMar>
            <w:vAlign w:val="center"/>
          </w:tcPr>
          <w:p w14:paraId="1FF2DBD5">
            <w:pPr>
              <w:keepNext/>
              <w:keepLines/>
              <w:spacing w:before="0" w:after="0" w:line="240" w:lineRule="auto"/>
              <w:jc w:val="left"/>
            </w:pPr>
            <w:r>
              <w:rPr>
                <w:rFonts w:ascii="Times New Roman" w:hAnsi="Times New Roman"/>
                <w:sz w:val="18"/>
              </w:rPr>
              <w:t>Kapitalne pomoći temeljem prijenosa EU sredstava</w:t>
            </w:r>
          </w:p>
        </w:tc>
        <w:tc>
          <w:tcPr>
            <w:tcMar>
              <w:top w:w="0" w:type="dxa"/>
              <w:bottom w:w="0" w:type="dxa"/>
            </w:tcMar>
            <w:vAlign w:val="center"/>
          </w:tcPr>
          <w:p w14:paraId="58DDEB7E">
            <w:pPr>
              <w:keepNext/>
              <w:keepLines/>
              <w:spacing w:before="0" w:after="0" w:line="240" w:lineRule="auto"/>
              <w:jc w:val="left"/>
            </w:pPr>
            <w:r>
              <w:rPr>
                <w:rFonts w:ascii="Times New Roman" w:hAnsi="Times New Roman"/>
                <w:sz w:val="18"/>
              </w:rPr>
              <w:t>6382</w:t>
            </w:r>
          </w:p>
        </w:tc>
        <w:tc>
          <w:tcPr>
            <w:tcMar>
              <w:top w:w="0" w:type="dxa"/>
              <w:bottom w:w="0" w:type="dxa"/>
            </w:tcMar>
            <w:vAlign w:val="center"/>
          </w:tcPr>
          <w:p w14:paraId="0970AF52">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7A294B5E">
            <w:pPr>
              <w:keepNext/>
              <w:keepLines/>
              <w:spacing w:before="0" w:after="0" w:line="240" w:lineRule="auto"/>
              <w:jc w:val="right"/>
            </w:pPr>
            <w:r>
              <w:rPr>
                <w:rFonts w:ascii="Times New Roman" w:hAnsi="Times New Roman"/>
                <w:sz w:val="18"/>
              </w:rPr>
              <w:t>40.452,50</w:t>
            </w:r>
          </w:p>
        </w:tc>
        <w:tc>
          <w:tcPr>
            <w:tcMar>
              <w:top w:w="0" w:type="dxa"/>
              <w:bottom w:w="0" w:type="dxa"/>
            </w:tcMar>
            <w:vAlign w:val="center"/>
          </w:tcPr>
          <w:p w14:paraId="3F49C383">
            <w:pPr>
              <w:keepNext/>
              <w:keepLines/>
              <w:spacing w:before="0" w:after="0" w:line="240" w:lineRule="auto"/>
              <w:jc w:val="right"/>
            </w:pPr>
            <w:r>
              <w:rPr>
                <w:rFonts w:ascii="Times New Roman" w:hAnsi="Times New Roman"/>
                <w:sz w:val="18"/>
              </w:rPr>
              <w:t>-</w:t>
            </w:r>
          </w:p>
        </w:tc>
      </w:tr>
    </w:tbl>
    <w:p w14:paraId="34700808">
      <w:pPr>
        <w:spacing w:before="0" w:after="0"/>
      </w:pPr>
    </w:p>
    <w:p w14:paraId="658987DD">
      <w:r>
        <w:t>Sredstva primljena za projektno tehničku dokumentaciju za dogradnju škole.</w:t>
      </w:r>
    </w:p>
    <w:p w14:paraId="0283B6E8"/>
    <w:p w14:paraId="4F2706B4">
      <w:pPr>
        <w:keepNext/>
        <w:spacing w:line="240" w:lineRule="auto"/>
        <w:jc w:val="center"/>
      </w:pPr>
      <w:r>
        <w:rPr>
          <w:rFonts w:ascii="Times New Roman" w:hAnsi="Times New Roman"/>
          <w:sz w:val="28"/>
        </w:rPr>
        <w:t>Bilješka 5.</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4DFB25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D2F6E61">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575F633">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7FBE7118">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DD2F5FB">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00505976">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7403B4D8">
            <w:pPr>
              <w:keepNext/>
              <w:keepLines/>
              <w:spacing w:before="0" w:after="0" w:line="240" w:lineRule="auto"/>
              <w:jc w:val="center"/>
            </w:pPr>
            <w:r>
              <w:rPr>
                <w:rFonts w:ascii="Times New Roman" w:hAnsi="Times New Roman"/>
                <w:b/>
                <w:sz w:val="18"/>
              </w:rPr>
              <w:t>Indeks (%)</w:t>
            </w:r>
          </w:p>
        </w:tc>
      </w:tr>
      <w:tr w14:paraId="624F823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22FDC5A">
            <w:pPr>
              <w:keepNext/>
              <w:keepLines/>
              <w:spacing w:before="0" w:after="0" w:line="240" w:lineRule="auto"/>
              <w:jc w:val="left"/>
            </w:pPr>
            <w:r>
              <w:rPr>
                <w:rFonts w:ascii="Times New Roman" w:hAnsi="Times New Roman"/>
                <w:sz w:val="18"/>
              </w:rPr>
              <w:t>671</w:t>
            </w:r>
          </w:p>
        </w:tc>
        <w:tc>
          <w:tcPr>
            <w:tcMar>
              <w:top w:w="0" w:type="dxa"/>
              <w:bottom w:w="0" w:type="dxa"/>
            </w:tcMar>
            <w:vAlign w:val="center"/>
          </w:tcPr>
          <w:p w14:paraId="2D246B1D">
            <w:pPr>
              <w:keepNext/>
              <w:keepLines/>
              <w:spacing w:before="0" w:after="0" w:line="240" w:lineRule="auto"/>
              <w:jc w:val="left"/>
            </w:pPr>
            <w:r>
              <w:rPr>
                <w:rFonts w:ascii="Times New Roman" w:hAnsi="Times New Roman"/>
                <w:sz w:val="18"/>
              </w:rPr>
              <w:t>Prihodi iz nadležnog proračuna za financiranje redovne djelatnosti proračunskih korisnika (šifre 6711 do 6714)</w:t>
            </w:r>
          </w:p>
        </w:tc>
        <w:tc>
          <w:tcPr>
            <w:tcMar>
              <w:top w:w="0" w:type="dxa"/>
              <w:bottom w:w="0" w:type="dxa"/>
            </w:tcMar>
            <w:vAlign w:val="center"/>
          </w:tcPr>
          <w:p w14:paraId="7724EAD0">
            <w:pPr>
              <w:keepNext/>
              <w:keepLines/>
              <w:spacing w:before="0" w:after="0" w:line="240" w:lineRule="auto"/>
              <w:jc w:val="left"/>
            </w:pPr>
            <w:r>
              <w:rPr>
                <w:rFonts w:ascii="Times New Roman" w:hAnsi="Times New Roman"/>
                <w:sz w:val="18"/>
              </w:rPr>
              <w:t>671</w:t>
            </w:r>
          </w:p>
        </w:tc>
        <w:tc>
          <w:tcPr>
            <w:tcMar>
              <w:top w:w="0" w:type="dxa"/>
              <w:bottom w:w="0" w:type="dxa"/>
            </w:tcMar>
            <w:vAlign w:val="center"/>
          </w:tcPr>
          <w:p w14:paraId="4F4F4D3F">
            <w:pPr>
              <w:keepNext/>
              <w:keepLines/>
              <w:spacing w:before="0" w:after="0" w:line="240" w:lineRule="auto"/>
              <w:jc w:val="right"/>
            </w:pPr>
            <w:r>
              <w:rPr>
                <w:rFonts w:ascii="Times New Roman" w:hAnsi="Times New Roman"/>
                <w:sz w:val="18"/>
              </w:rPr>
              <w:t>154.931,95</w:t>
            </w:r>
          </w:p>
        </w:tc>
        <w:tc>
          <w:tcPr>
            <w:tcMar>
              <w:top w:w="0" w:type="dxa"/>
              <w:bottom w:w="0" w:type="dxa"/>
            </w:tcMar>
            <w:vAlign w:val="center"/>
          </w:tcPr>
          <w:p w14:paraId="78748230">
            <w:pPr>
              <w:keepNext/>
              <w:keepLines/>
              <w:spacing w:before="0" w:after="0" w:line="240" w:lineRule="auto"/>
              <w:jc w:val="right"/>
            </w:pPr>
            <w:r>
              <w:rPr>
                <w:rFonts w:ascii="Times New Roman" w:hAnsi="Times New Roman"/>
                <w:sz w:val="18"/>
              </w:rPr>
              <w:t>161.649,31</w:t>
            </w:r>
          </w:p>
        </w:tc>
        <w:tc>
          <w:tcPr>
            <w:tcMar>
              <w:top w:w="0" w:type="dxa"/>
              <w:bottom w:w="0" w:type="dxa"/>
            </w:tcMar>
            <w:vAlign w:val="center"/>
          </w:tcPr>
          <w:p w14:paraId="0E7C0826">
            <w:pPr>
              <w:keepNext/>
              <w:keepLines/>
              <w:spacing w:before="0" w:after="0" w:line="240" w:lineRule="auto"/>
              <w:jc w:val="right"/>
            </w:pPr>
            <w:r>
              <w:rPr>
                <w:rFonts w:ascii="Times New Roman" w:hAnsi="Times New Roman"/>
                <w:sz w:val="18"/>
              </w:rPr>
              <w:t>104,3</w:t>
            </w:r>
          </w:p>
        </w:tc>
      </w:tr>
    </w:tbl>
    <w:p w14:paraId="0AD26036">
      <w:pPr>
        <w:spacing w:before="0" w:after="0"/>
      </w:pPr>
    </w:p>
    <w:p w14:paraId="4E2283C5">
      <w:r>
        <w:t>knjiženi su prihodi KZŽ za materijalne rashode, za tekuće i investicijsko održavanje, za pokriće troškova županijskih natjecanja, Baltazar 8, sufinanciranje radnih bilježnica , te za PTD uklanjanje zgrade Poznanovec i PTD dogradnja nove zgrade matične škole.</w:t>
      </w:r>
    </w:p>
    <w:p w14:paraId="1EABC224"/>
    <w:p w14:paraId="2BF9B442">
      <w:pPr>
        <w:keepNext/>
        <w:spacing w:line="240" w:lineRule="auto"/>
        <w:jc w:val="center"/>
      </w:pPr>
      <w:r>
        <w:rPr>
          <w:rFonts w:ascii="Times New Roman" w:hAnsi="Times New Roman"/>
          <w:sz w:val="28"/>
        </w:rPr>
        <w:t>Bilješka 6.</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643079D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C209480">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E2ACAFF">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76B1B934">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670C0CF">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73DA6D2C">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0D669938">
            <w:pPr>
              <w:keepNext/>
              <w:keepLines/>
              <w:spacing w:before="0" w:after="0" w:line="240" w:lineRule="auto"/>
              <w:jc w:val="center"/>
            </w:pPr>
            <w:r>
              <w:rPr>
                <w:rFonts w:ascii="Times New Roman" w:hAnsi="Times New Roman"/>
                <w:b/>
                <w:sz w:val="18"/>
              </w:rPr>
              <w:t>Indeks (%)</w:t>
            </w:r>
          </w:p>
        </w:tc>
      </w:tr>
      <w:tr w14:paraId="04C69E5B">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902CB0B">
            <w:pPr>
              <w:keepNext/>
              <w:keepLines/>
              <w:spacing w:before="0" w:after="0" w:line="240" w:lineRule="auto"/>
              <w:jc w:val="left"/>
            </w:pPr>
            <w:r>
              <w:rPr>
                <w:rFonts w:ascii="Times New Roman" w:hAnsi="Times New Roman"/>
                <w:sz w:val="18"/>
              </w:rPr>
              <w:t>311</w:t>
            </w:r>
          </w:p>
        </w:tc>
        <w:tc>
          <w:tcPr>
            <w:tcMar>
              <w:top w:w="0" w:type="dxa"/>
              <w:bottom w:w="0" w:type="dxa"/>
            </w:tcMar>
            <w:vAlign w:val="center"/>
          </w:tcPr>
          <w:p w14:paraId="6FD7F6D5">
            <w:pPr>
              <w:keepNext/>
              <w:keepLines/>
              <w:spacing w:before="0" w:after="0" w:line="240" w:lineRule="auto"/>
              <w:jc w:val="left"/>
            </w:pPr>
            <w:r>
              <w:rPr>
                <w:rFonts w:ascii="Times New Roman" w:hAnsi="Times New Roman"/>
                <w:sz w:val="18"/>
              </w:rPr>
              <w:t>Plaće (bruto) (šifre 3111 do 3114)</w:t>
            </w:r>
          </w:p>
        </w:tc>
        <w:tc>
          <w:tcPr>
            <w:tcMar>
              <w:top w:w="0" w:type="dxa"/>
              <w:bottom w:w="0" w:type="dxa"/>
            </w:tcMar>
            <w:vAlign w:val="center"/>
          </w:tcPr>
          <w:p w14:paraId="171688E0">
            <w:pPr>
              <w:keepNext/>
              <w:keepLines/>
              <w:spacing w:before="0" w:after="0" w:line="240" w:lineRule="auto"/>
              <w:jc w:val="left"/>
            </w:pPr>
            <w:r>
              <w:rPr>
                <w:rFonts w:ascii="Times New Roman" w:hAnsi="Times New Roman"/>
                <w:sz w:val="18"/>
              </w:rPr>
              <w:t>311</w:t>
            </w:r>
          </w:p>
        </w:tc>
        <w:tc>
          <w:tcPr>
            <w:tcMar>
              <w:top w:w="0" w:type="dxa"/>
              <w:bottom w:w="0" w:type="dxa"/>
            </w:tcMar>
            <w:vAlign w:val="center"/>
          </w:tcPr>
          <w:p w14:paraId="184616C6">
            <w:pPr>
              <w:keepNext/>
              <w:keepLines/>
              <w:spacing w:before="0" w:after="0" w:line="240" w:lineRule="auto"/>
              <w:jc w:val="right"/>
            </w:pPr>
            <w:r>
              <w:rPr>
                <w:rFonts w:ascii="Times New Roman" w:hAnsi="Times New Roman"/>
                <w:sz w:val="18"/>
              </w:rPr>
              <w:t>1.268.938,02</w:t>
            </w:r>
          </w:p>
        </w:tc>
        <w:tc>
          <w:tcPr>
            <w:tcMar>
              <w:top w:w="0" w:type="dxa"/>
              <w:bottom w:w="0" w:type="dxa"/>
            </w:tcMar>
            <w:vAlign w:val="center"/>
          </w:tcPr>
          <w:p w14:paraId="61D251F1">
            <w:pPr>
              <w:keepNext/>
              <w:keepLines/>
              <w:spacing w:before="0" w:after="0" w:line="240" w:lineRule="auto"/>
              <w:jc w:val="right"/>
            </w:pPr>
            <w:r>
              <w:rPr>
                <w:rFonts w:ascii="Times New Roman" w:hAnsi="Times New Roman"/>
                <w:sz w:val="18"/>
              </w:rPr>
              <w:t>1.508.398,62</w:t>
            </w:r>
          </w:p>
        </w:tc>
        <w:tc>
          <w:tcPr>
            <w:tcMar>
              <w:top w:w="0" w:type="dxa"/>
              <w:bottom w:w="0" w:type="dxa"/>
            </w:tcMar>
            <w:vAlign w:val="center"/>
          </w:tcPr>
          <w:p w14:paraId="55B811EA">
            <w:pPr>
              <w:keepNext/>
              <w:keepLines/>
              <w:spacing w:before="0" w:after="0" w:line="240" w:lineRule="auto"/>
              <w:jc w:val="right"/>
            </w:pPr>
            <w:r>
              <w:rPr>
                <w:rFonts w:ascii="Times New Roman" w:hAnsi="Times New Roman"/>
                <w:sz w:val="18"/>
              </w:rPr>
              <w:t>118,9</w:t>
            </w:r>
          </w:p>
        </w:tc>
      </w:tr>
    </w:tbl>
    <w:p w14:paraId="5097E5AD">
      <w:pPr>
        <w:spacing w:before="0" w:after="0"/>
      </w:pPr>
    </w:p>
    <w:p w14:paraId="54AE859F">
      <w:r>
        <w:t>povećanje koeficijenata za plaće djelatnika</w:t>
      </w:r>
    </w:p>
    <w:p w14:paraId="49FDAF8A"/>
    <w:p w14:paraId="06A761F4">
      <w:pPr>
        <w:keepNext/>
        <w:spacing w:line="240" w:lineRule="auto"/>
        <w:jc w:val="center"/>
      </w:pPr>
      <w:r>
        <w:rPr>
          <w:rFonts w:ascii="Times New Roman" w:hAnsi="Times New Roman"/>
          <w:sz w:val="28"/>
        </w:rPr>
        <w:t>Bilješka 7.</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37DDBA3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00777F9">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69D9AFDD">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57D90656">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E8B022C">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1FF10939">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2151797A">
            <w:pPr>
              <w:keepNext/>
              <w:keepLines/>
              <w:spacing w:before="0" w:after="0" w:line="240" w:lineRule="auto"/>
              <w:jc w:val="center"/>
            </w:pPr>
            <w:r>
              <w:rPr>
                <w:rFonts w:ascii="Times New Roman" w:hAnsi="Times New Roman"/>
                <w:b/>
                <w:sz w:val="18"/>
              </w:rPr>
              <w:t>Indeks (%)</w:t>
            </w:r>
          </w:p>
        </w:tc>
      </w:tr>
      <w:tr w14:paraId="0D871B8B">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1D5DA2BD">
            <w:pPr>
              <w:keepNext/>
              <w:keepLines/>
              <w:spacing w:before="0" w:after="0" w:line="240" w:lineRule="auto"/>
              <w:jc w:val="left"/>
            </w:pPr>
            <w:r>
              <w:rPr>
                <w:rFonts w:ascii="Times New Roman" w:hAnsi="Times New Roman"/>
                <w:sz w:val="18"/>
              </w:rPr>
              <w:t>3211</w:t>
            </w:r>
          </w:p>
        </w:tc>
        <w:tc>
          <w:tcPr>
            <w:tcMar>
              <w:top w:w="0" w:type="dxa"/>
              <w:bottom w:w="0" w:type="dxa"/>
            </w:tcMar>
            <w:vAlign w:val="center"/>
          </w:tcPr>
          <w:p w14:paraId="436DC3FE">
            <w:pPr>
              <w:keepNext/>
              <w:keepLines/>
              <w:spacing w:before="0" w:after="0" w:line="240" w:lineRule="auto"/>
              <w:jc w:val="left"/>
            </w:pPr>
            <w:r>
              <w:rPr>
                <w:rFonts w:ascii="Times New Roman" w:hAnsi="Times New Roman"/>
                <w:sz w:val="18"/>
              </w:rPr>
              <w:t>Službena putovanja</w:t>
            </w:r>
          </w:p>
        </w:tc>
        <w:tc>
          <w:tcPr>
            <w:tcMar>
              <w:top w:w="0" w:type="dxa"/>
              <w:bottom w:w="0" w:type="dxa"/>
            </w:tcMar>
            <w:vAlign w:val="center"/>
          </w:tcPr>
          <w:p w14:paraId="7D57CBD4">
            <w:pPr>
              <w:keepNext/>
              <w:keepLines/>
              <w:spacing w:before="0" w:after="0" w:line="240" w:lineRule="auto"/>
              <w:jc w:val="left"/>
            </w:pPr>
            <w:r>
              <w:rPr>
                <w:rFonts w:ascii="Times New Roman" w:hAnsi="Times New Roman"/>
                <w:sz w:val="18"/>
              </w:rPr>
              <w:t>3211</w:t>
            </w:r>
          </w:p>
        </w:tc>
        <w:tc>
          <w:tcPr>
            <w:tcMar>
              <w:top w:w="0" w:type="dxa"/>
              <w:bottom w:w="0" w:type="dxa"/>
            </w:tcMar>
            <w:vAlign w:val="center"/>
          </w:tcPr>
          <w:p w14:paraId="7453DF10">
            <w:pPr>
              <w:keepNext/>
              <w:keepLines/>
              <w:spacing w:before="0" w:after="0" w:line="240" w:lineRule="auto"/>
              <w:jc w:val="right"/>
            </w:pPr>
            <w:r>
              <w:rPr>
                <w:rFonts w:ascii="Times New Roman" w:hAnsi="Times New Roman"/>
                <w:sz w:val="18"/>
              </w:rPr>
              <w:t>30.454,67</w:t>
            </w:r>
          </w:p>
        </w:tc>
        <w:tc>
          <w:tcPr>
            <w:tcMar>
              <w:top w:w="0" w:type="dxa"/>
              <w:bottom w:w="0" w:type="dxa"/>
            </w:tcMar>
            <w:vAlign w:val="center"/>
          </w:tcPr>
          <w:p w14:paraId="59DEF861">
            <w:pPr>
              <w:keepNext/>
              <w:keepLines/>
              <w:spacing w:before="0" w:after="0" w:line="240" w:lineRule="auto"/>
              <w:jc w:val="right"/>
            </w:pPr>
            <w:r>
              <w:rPr>
                <w:rFonts w:ascii="Times New Roman" w:hAnsi="Times New Roman"/>
                <w:sz w:val="18"/>
              </w:rPr>
              <w:t>52.809,76</w:t>
            </w:r>
          </w:p>
        </w:tc>
        <w:tc>
          <w:tcPr>
            <w:tcMar>
              <w:top w:w="0" w:type="dxa"/>
              <w:bottom w:w="0" w:type="dxa"/>
            </w:tcMar>
            <w:vAlign w:val="center"/>
          </w:tcPr>
          <w:p w14:paraId="03A715CA">
            <w:pPr>
              <w:keepNext/>
              <w:keepLines/>
              <w:spacing w:before="0" w:after="0" w:line="240" w:lineRule="auto"/>
              <w:jc w:val="right"/>
            </w:pPr>
            <w:r>
              <w:rPr>
                <w:rFonts w:ascii="Times New Roman" w:hAnsi="Times New Roman"/>
                <w:sz w:val="18"/>
              </w:rPr>
              <w:t>173,4</w:t>
            </w:r>
          </w:p>
        </w:tc>
      </w:tr>
    </w:tbl>
    <w:p w14:paraId="584EB859">
      <w:pPr>
        <w:spacing w:before="0" w:after="0"/>
      </w:pPr>
    </w:p>
    <w:p w14:paraId="37A738CF">
      <w:r>
        <w:t>Službena putovanja koja su financirana iz sredstava Erasmus + projekta</w:t>
      </w:r>
    </w:p>
    <w:p w14:paraId="5D6A5381"/>
    <w:p w14:paraId="520C482C">
      <w:pPr>
        <w:keepNext/>
        <w:spacing w:line="240" w:lineRule="auto"/>
        <w:jc w:val="center"/>
      </w:pPr>
      <w:r>
        <w:rPr>
          <w:rFonts w:ascii="Times New Roman" w:hAnsi="Times New Roman"/>
          <w:sz w:val="28"/>
        </w:rPr>
        <w:t>Bilješka 8.</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3F99F182">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284ECBDA">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01EA21F4">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75C46E42">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F5C75EB">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4A67B3BC">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6E9A347C">
            <w:pPr>
              <w:keepNext/>
              <w:keepLines/>
              <w:spacing w:before="0" w:after="0" w:line="240" w:lineRule="auto"/>
              <w:jc w:val="center"/>
            </w:pPr>
            <w:r>
              <w:rPr>
                <w:rFonts w:ascii="Times New Roman" w:hAnsi="Times New Roman"/>
                <w:b/>
                <w:sz w:val="18"/>
              </w:rPr>
              <w:t>Indeks (%)</w:t>
            </w:r>
          </w:p>
        </w:tc>
      </w:tr>
      <w:tr w14:paraId="31688AE7">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EBC7E92">
            <w:pPr>
              <w:keepNext/>
              <w:keepLines/>
              <w:spacing w:before="0" w:after="0" w:line="240" w:lineRule="auto"/>
              <w:jc w:val="left"/>
            </w:pPr>
            <w:r>
              <w:rPr>
                <w:rFonts w:ascii="Times New Roman" w:hAnsi="Times New Roman"/>
                <w:sz w:val="18"/>
              </w:rPr>
              <w:t>3225</w:t>
            </w:r>
          </w:p>
        </w:tc>
        <w:tc>
          <w:tcPr>
            <w:tcMar>
              <w:top w:w="0" w:type="dxa"/>
              <w:bottom w:w="0" w:type="dxa"/>
            </w:tcMar>
            <w:vAlign w:val="center"/>
          </w:tcPr>
          <w:p w14:paraId="436E9BBD">
            <w:pPr>
              <w:keepNext/>
              <w:keepLines/>
              <w:spacing w:before="0" w:after="0" w:line="240" w:lineRule="auto"/>
              <w:jc w:val="left"/>
            </w:pPr>
            <w:r>
              <w:rPr>
                <w:rFonts w:ascii="Times New Roman" w:hAnsi="Times New Roman"/>
                <w:sz w:val="18"/>
              </w:rPr>
              <w:t>Sitni inventar i autogume</w:t>
            </w:r>
          </w:p>
        </w:tc>
        <w:tc>
          <w:tcPr>
            <w:tcMar>
              <w:top w:w="0" w:type="dxa"/>
              <w:bottom w:w="0" w:type="dxa"/>
            </w:tcMar>
            <w:vAlign w:val="center"/>
          </w:tcPr>
          <w:p w14:paraId="6D52B06F">
            <w:pPr>
              <w:keepNext/>
              <w:keepLines/>
              <w:spacing w:before="0" w:after="0" w:line="240" w:lineRule="auto"/>
              <w:jc w:val="left"/>
            </w:pPr>
            <w:r>
              <w:rPr>
                <w:rFonts w:ascii="Times New Roman" w:hAnsi="Times New Roman"/>
                <w:sz w:val="18"/>
              </w:rPr>
              <w:t>3225</w:t>
            </w:r>
          </w:p>
        </w:tc>
        <w:tc>
          <w:tcPr>
            <w:tcMar>
              <w:top w:w="0" w:type="dxa"/>
              <w:bottom w:w="0" w:type="dxa"/>
            </w:tcMar>
            <w:vAlign w:val="center"/>
          </w:tcPr>
          <w:p w14:paraId="59ED841F">
            <w:pPr>
              <w:keepNext/>
              <w:keepLines/>
              <w:spacing w:before="0" w:after="0" w:line="240" w:lineRule="auto"/>
              <w:jc w:val="right"/>
            </w:pPr>
            <w:r>
              <w:rPr>
                <w:rFonts w:ascii="Times New Roman" w:hAnsi="Times New Roman"/>
                <w:sz w:val="18"/>
              </w:rPr>
              <w:t>10.552,50</w:t>
            </w:r>
          </w:p>
        </w:tc>
        <w:tc>
          <w:tcPr>
            <w:tcMar>
              <w:top w:w="0" w:type="dxa"/>
              <w:bottom w:w="0" w:type="dxa"/>
            </w:tcMar>
            <w:vAlign w:val="center"/>
          </w:tcPr>
          <w:p w14:paraId="6D9880E2">
            <w:pPr>
              <w:keepNext/>
              <w:keepLines/>
              <w:spacing w:before="0" w:after="0" w:line="240" w:lineRule="auto"/>
              <w:jc w:val="right"/>
            </w:pPr>
            <w:r>
              <w:rPr>
                <w:rFonts w:ascii="Times New Roman" w:hAnsi="Times New Roman"/>
                <w:sz w:val="18"/>
              </w:rPr>
              <w:t>14.106,22</w:t>
            </w:r>
          </w:p>
        </w:tc>
        <w:tc>
          <w:tcPr>
            <w:tcMar>
              <w:top w:w="0" w:type="dxa"/>
              <w:bottom w:w="0" w:type="dxa"/>
            </w:tcMar>
            <w:vAlign w:val="center"/>
          </w:tcPr>
          <w:p w14:paraId="14106751">
            <w:pPr>
              <w:keepNext/>
              <w:keepLines/>
              <w:spacing w:before="0" w:after="0" w:line="240" w:lineRule="auto"/>
              <w:jc w:val="right"/>
            </w:pPr>
            <w:r>
              <w:rPr>
                <w:rFonts w:ascii="Times New Roman" w:hAnsi="Times New Roman"/>
                <w:sz w:val="18"/>
              </w:rPr>
              <w:t>133,7</w:t>
            </w:r>
          </w:p>
        </w:tc>
      </w:tr>
    </w:tbl>
    <w:p w14:paraId="2AF91EAB">
      <w:pPr>
        <w:spacing w:before="0" w:after="0"/>
      </w:pPr>
    </w:p>
    <w:p w14:paraId="33F57D0A">
      <w:r>
        <w:t>Uređenje školske knjižnice</w:t>
      </w:r>
    </w:p>
    <w:p w14:paraId="5E758A86"/>
    <w:p w14:paraId="233A7EF0">
      <w:pPr>
        <w:keepNext/>
        <w:spacing w:line="240" w:lineRule="auto"/>
        <w:jc w:val="center"/>
      </w:pPr>
      <w:r>
        <w:rPr>
          <w:rFonts w:ascii="Times New Roman" w:hAnsi="Times New Roman"/>
          <w:sz w:val="28"/>
        </w:rPr>
        <w:t>Bilješka 9.</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CD0C6B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PrEx>
        <w:trPr>
          <w:cantSplit/>
        </w:trPr>
        <w:tc>
          <w:tcPr>
            <w:shd w:val="clear" w:color="auto" w:fill="E7F0F9"/>
            <w:tcMar>
              <w:top w:w="0" w:type="dxa"/>
              <w:bottom w:w="0" w:type="dxa"/>
            </w:tcMar>
            <w:vAlign w:val="center"/>
          </w:tcPr>
          <w:p w14:paraId="25F10238">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6F15B63C">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5BE3101">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4FA75841">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1FB7A724">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3B6AFC2">
            <w:pPr>
              <w:keepNext/>
              <w:keepLines/>
              <w:spacing w:before="0" w:after="0" w:line="240" w:lineRule="auto"/>
              <w:jc w:val="center"/>
            </w:pPr>
            <w:r>
              <w:rPr>
                <w:rFonts w:ascii="Times New Roman" w:hAnsi="Times New Roman"/>
                <w:b/>
                <w:sz w:val="18"/>
              </w:rPr>
              <w:t>Indeks (%)</w:t>
            </w:r>
          </w:p>
        </w:tc>
      </w:tr>
      <w:tr w14:paraId="5BD20735">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29D9ECD">
            <w:pPr>
              <w:keepNext/>
              <w:keepLines/>
              <w:spacing w:before="0" w:after="0" w:line="240" w:lineRule="auto"/>
              <w:jc w:val="left"/>
            </w:pPr>
            <w:r>
              <w:rPr>
                <w:rFonts w:ascii="Times New Roman" w:hAnsi="Times New Roman"/>
                <w:sz w:val="18"/>
              </w:rPr>
              <w:t>3232</w:t>
            </w:r>
          </w:p>
        </w:tc>
        <w:tc>
          <w:tcPr>
            <w:tcMar>
              <w:top w:w="0" w:type="dxa"/>
              <w:bottom w:w="0" w:type="dxa"/>
            </w:tcMar>
            <w:vAlign w:val="center"/>
          </w:tcPr>
          <w:p w14:paraId="317E74B9">
            <w:pPr>
              <w:keepNext/>
              <w:keepLines/>
              <w:spacing w:before="0" w:after="0" w:line="240" w:lineRule="auto"/>
              <w:jc w:val="left"/>
            </w:pPr>
            <w:r>
              <w:rPr>
                <w:rFonts w:ascii="Times New Roman" w:hAnsi="Times New Roman"/>
                <w:sz w:val="18"/>
              </w:rPr>
              <w:t>Usluge tekućeg i investicijskog održavanja</w:t>
            </w:r>
          </w:p>
        </w:tc>
        <w:tc>
          <w:tcPr>
            <w:tcMar>
              <w:top w:w="0" w:type="dxa"/>
              <w:bottom w:w="0" w:type="dxa"/>
            </w:tcMar>
            <w:vAlign w:val="center"/>
          </w:tcPr>
          <w:p w14:paraId="4B7D98B7">
            <w:pPr>
              <w:keepNext/>
              <w:keepLines/>
              <w:spacing w:before="0" w:after="0" w:line="240" w:lineRule="auto"/>
              <w:jc w:val="left"/>
            </w:pPr>
            <w:r>
              <w:rPr>
                <w:rFonts w:ascii="Times New Roman" w:hAnsi="Times New Roman"/>
                <w:sz w:val="18"/>
              </w:rPr>
              <w:t>3232</w:t>
            </w:r>
          </w:p>
        </w:tc>
        <w:tc>
          <w:tcPr>
            <w:tcMar>
              <w:top w:w="0" w:type="dxa"/>
              <w:bottom w:w="0" w:type="dxa"/>
            </w:tcMar>
            <w:vAlign w:val="center"/>
          </w:tcPr>
          <w:p w14:paraId="2EF51485">
            <w:pPr>
              <w:keepNext/>
              <w:keepLines/>
              <w:spacing w:before="0" w:after="0" w:line="240" w:lineRule="auto"/>
              <w:jc w:val="right"/>
            </w:pPr>
            <w:r>
              <w:rPr>
                <w:rFonts w:ascii="Times New Roman" w:hAnsi="Times New Roman"/>
                <w:sz w:val="18"/>
              </w:rPr>
              <w:t>47.601,08</w:t>
            </w:r>
          </w:p>
        </w:tc>
        <w:tc>
          <w:tcPr>
            <w:tcMar>
              <w:top w:w="0" w:type="dxa"/>
              <w:bottom w:w="0" w:type="dxa"/>
            </w:tcMar>
            <w:vAlign w:val="center"/>
          </w:tcPr>
          <w:p w14:paraId="500608B8">
            <w:pPr>
              <w:keepNext/>
              <w:keepLines/>
              <w:spacing w:before="0" w:after="0" w:line="240" w:lineRule="auto"/>
              <w:jc w:val="right"/>
            </w:pPr>
            <w:r>
              <w:rPr>
                <w:rFonts w:ascii="Times New Roman" w:hAnsi="Times New Roman"/>
                <w:sz w:val="18"/>
              </w:rPr>
              <w:t>13.137,62</w:t>
            </w:r>
          </w:p>
        </w:tc>
        <w:tc>
          <w:tcPr>
            <w:tcMar>
              <w:top w:w="0" w:type="dxa"/>
              <w:bottom w:w="0" w:type="dxa"/>
            </w:tcMar>
            <w:vAlign w:val="center"/>
          </w:tcPr>
          <w:p w14:paraId="3B03116B">
            <w:pPr>
              <w:keepNext/>
              <w:keepLines/>
              <w:spacing w:before="0" w:after="0" w:line="240" w:lineRule="auto"/>
              <w:jc w:val="right"/>
            </w:pPr>
            <w:r>
              <w:rPr>
                <w:rFonts w:ascii="Times New Roman" w:hAnsi="Times New Roman"/>
                <w:sz w:val="18"/>
              </w:rPr>
              <w:t>27,6</w:t>
            </w:r>
          </w:p>
        </w:tc>
      </w:tr>
    </w:tbl>
    <w:p w14:paraId="007675E3">
      <w:pPr>
        <w:spacing w:before="0" w:after="0"/>
      </w:pPr>
    </w:p>
    <w:p w14:paraId="7B5493DF">
      <w:r>
        <w:t>U 2024.g.  knjiženi su troškovi za izradu elaborata i izradu projektne dokumentacije za područnu školu Poznanovec, te su se zaštitili radijatori u sportskoj dvorani.</w:t>
      </w:r>
    </w:p>
    <w:p w14:paraId="602D02F6"/>
    <w:p w14:paraId="11DF1D7F">
      <w:pPr>
        <w:keepNext/>
        <w:spacing w:line="240" w:lineRule="auto"/>
        <w:jc w:val="center"/>
      </w:pPr>
      <w:r>
        <w:rPr>
          <w:rFonts w:ascii="Times New Roman" w:hAnsi="Times New Roman"/>
          <w:sz w:val="28"/>
        </w:rPr>
        <w:t>Bilješka 10.</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1E3D8C8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C83EC5B">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F64F753">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5A47AA7F">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ED9DAFC">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4FEF8460">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1D702D19">
            <w:pPr>
              <w:keepNext/>
              <w:keepLines/>
              <w:spacing w:before="0" w:after="0" w:line="240" w:lineRule="auto"/>
              <w:jc w:val="center"/>
            </w:pPr>
            <w:r>
              <w:rPr>
                <w:rFonts w:ascii="Times New Roman" w:hAnsi="Times New Roman"/>
                <w:b/>
                <w:sz w:val="18"/>
              </w:rPr>
              <w:t>Indeks (%)</w:t>
            </w:r>
          </w:p>
        </w:tc>
      </w:tr>
      <w:tr w14:paraId="56E327EC">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E8062BA">
            <w:pPr>
              <w:keepNext/>
              <w:keepLines/>
              <w:spacing w:before="0" w:after="0" w:line="240" w:lineRule="auto"/>
              <w:jc w:val="left"/>
            </w:pPr>
            <w:r>
              <w:rPr>
                <w:rFonts w:ascii="Times New Roman" w:hAnsi="Times New Roman"/>
                <w:sz w:val="18"/>
              </w:rPr>
              <w:t>3235</w:t>
            </w:r>
          </w:p>
        </w:tc>
        <w:tc>
          <w:tcPr>
            <w:tcMar>
              <w:top w:w="0" w:type="dxa"/>
              <w:bottom w:w="0" w:type="dxa"/>
            </w:tcMar>
            <w:vAlign w:val="center"/>
          </w:tcPr>
          <w:p w14:paraId="01E60C1B">
            <w:pPr>
              <w:keepNext/>
              <w:keepLines/>
              <w:spacing w:before="0" w:after="0" w:line="240" w:lineRule="auto"/>
              <w:jc w:val="left"/>
            </w:pPr>
            <w:r>
              <w:rPr>
                <w:rFonts w:ascii="Times New Roman" w:hAnsi="Times New Roman"/>
                <w:sz w:val="18"/>
              </w:rPr>
              <w:t>Zakupnine i najamnine</w:t>
            </w:r>
          </w:p>
        </w:tc>
        <w:tc>
          <w:tcPr>
            <w:tcMar>
              <w:top w:w="0" w:type="dxa"/>
              <w:bottom w:w="0" w:type="dxa"/>
            </w:tcMar>
            <w:vAlign w:val="center"/>
          </w:tcPr>
          <w:p w14:paraId="663EFFD1">
            <w:pPr>
              <w:keepNext/>
              <w:keepLines/>
              <w:spacing w:before="0" w:after="0" w:line="240" w:lineRule="auto"/>
              <w:jc w:val="left"/>
            </w:pPr>
            <w:r>
              <w:rPr>
                <w:rFonts w:ascii="Times New Roman" w:hAnsi="Times New Roman"/>
                <w:sz w:val="18"/>
              </w:rPr>
              <w:t>3235</w:t>
            </w:r>
          </w:p>
        </w:tc>
        <w:tc>
          <w:tcPr>
            <w:tcMar>
              <w:top w:w="0" w:type="dxa"/>
              <w:bottom w:w="0" w:type="dxa"/>
            </w:tcMar>
            <w:vAlign w:val="center"/>
          </w:tcPr>
          <w:p w14:paraId="336A0A0E">
            <w:pPr>
              <w:keepNext/>
              <w:keepLines/>
              <w:spacing w:before="0" w:after="0" w:line="240" w:lineRule="auto"/>
              <w:jc w:val="right"/>
            </w:pPr>
            <w:r>
              <w:rPr>
                <w:rFonts w:ascii="Times New Roman" w:hAnsi="Times New Roman"/>
                <w:sz w:val="18"/>
              </w:rPr>
              <w:t>3.771,26</w:t>
            </w:r>
          </w:p>
        </w:tc>
        <w:tc>
          <w:tcPr>
            <w:tcMar>
              <w:top w:w="0" w:type="dxa"/>
              <w:bottom w:w="0" w:type="dxa"/>
            </w:tcMar>
            <w:vAlign w:val="center"/>
          </w:tcPr>
          <w:p w14:paraId="69217C3A">
            <w:pPr>
              <w:keepNext/>
              <w:keepLines/>
              <w:spacing w:before="0" w:after="0" w:line="240" w:lineRule="auto"/>
              <w:jc w:val="right"/>
            </w:pPr>
            <w:r>
              <w:rPr>
                <w:rFonts w:ascii="Times New Roman" w:hAnsi="Times New Roman"/>
                <w:sz w:val="18"/>
              </w:rPr>
              <w:t>406,46</w:t>
            </w:r>
          </w:p>
        </w:tc>
        <w:tc>
          <w:tcPr>
            <w:tcMar>
              <w:top w:w="0" w:type="dxa"/>
              <w:bottom w:w="0" w:type="dxa"/>
            </w:tcMar>
            <w:vAlign w:val="center"/>
          </w:tcPr>
          <w:p w14:paraId="740CE086">
            <w:pPr>
              <w:keepNext/>
              <w:keepLines/>
              <w:spacing w:before="0" w:after="0" w:line="240" w:lineRule="auto"/>
              <w:jc w:val="right"/>
            </w:pPr>
            <w:r>
              <w:rPr>
                <w:rFonts w:ascii="Times New Roman" w:hAnsi="Times New Roman"/>
                <w:sz w:val="18"/>
              </w:rPr>
              <w:t>10,8</w:t>
            </w:r>
          </w:p>
        </w:tc>
      </w:tr>
    </w:tbl>
    <w:p w14:paraId="58F2CD49">
      <w:pPr>
        <w:spacing w:before="0" w:after="0"/>
      </w:pPr>
    </w:p>
    <w:p w14:paraId="00E51DE6">
      <w:r>
        <w:t>Smanjenje iz razloga što je u 2024. g.  nastao trošak najma opreme za ZVIS- Stubičke Toplice.</w:t>
      </w:r>
    </w:p>
    <w:p w14:paraId="75D2F27D"/>
    <w:p w14:paraId="13A48F2E">
      <w:pPr>
        <w:keepNext/>
        <w:spacing w:line="240" w:lineRule="auto"/>
        <w:jc w:val="center"/>
      </w:pPr>
      <w:r>
        <w:rPr>
          <w:rFonts w:ascii="Times New Roman" w:hAnsi="Times New Roman"/>
          <w:sz w:val="28"/>
        </w:rPr>
        <w:t>Bilješka 11.</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705DAE6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6986B522">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CE582D4">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2949F26D">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5FE86FC0">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6DC0AD8D">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D966043">
            <w:pPr>
              <w:keepNext/>
              <w:keepLines/>
              <w:spacing w:before="0" w:after="0" w:line="240" w:lineRule="auto"/>
              <w:jc w:val="center"/>
            </w:pPr>
            <w:r>
              <w:rPr>
                <w:rFonts w:ascii="Times New Roman" w:hAnsi="Times New Roman"/>
                <w:b/>
                <w:sz w:val="18"/>
              </w:rPr>
              <w:t>Indeks (%)</w:t>
            </w:r>
          </w:p>
        </w:tc>
      </w:tr>
      <w:tr w14:paraId="4F78E7B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388173BE">
            <w:pPr>
              <w:keepNext/>
              <w:keepLines/>
              <w:spacing w:before="0" w:after="0" w:line="240" w:lineRule="auto"/>
              <w:jc w:val="left"/>
            </w:pPr>
            <w:r>
              <w:rPr>
                <w:rFonts w:ascii="Times New Roman" w:hAnsi="Times New Roman"/>
                <w:sz w:val="18"/>
              </w:rPr>
              <w:t>3237</w:t>
            </w:r>
          </w:p>
        </w:tc>
        <w:tc>
          <w:tcPr>
            <w:tcMar>
              <w:top w:w="0" w:type="dxa"/>
              <w:bottom w:w="0" w:type="dxa"/>
            </w:tcMar>
            <w:vAlign w:val="center"/>
          </w:tcPr>
          <w:p w14:paraId="26B0052E">
            <w:pPr>
              <w:keepNext/>
              <w:keepLines/>
              <w:spacing w:before="0" w:after="0" w:line="240" w:lineRule="auto"/>
              <w:jc w:val="left"/>
            </w:pPr>
            <w:r>
              <w:rPr>
                <w:rFonts w:ascii="Times New Roman" w:hAnsi="Times New Roman"/>
                <w:sz w:val="18"/>
              </w:rPr>
              <w:t>Intelektualne i osobne usluge</w:t>
            </w:r>
          </w:p>
        </w:tc>
        <w:tc>
          <w:tcPr>
            <w:tcMar>
              <w:top w:w="0" w:type="dxa"/>
              <w:bottom w:w="0" w:type="dxa"/>
            </w:tcMar>
            <w:vAlign w:val="center"/>
          </w:tcPr>
          <w:p w14:paraId="10D4202E">
            <w:pPr>
              <w:keepNext/>
              <w:keepLines/>
              <w:spacing w:before="0" w:after="0" w:line="240" w:lineRule="auto"/>
              <w:jc w:val="left"/>
            </w:pPr>
            <w:r>
              <w:rPr>
                <w:rFonts w:ascii="Times New Roman" w:hAnsi="Times New Roman"/>
                <w:sz w:val="18"/>
              </w:rPr>
              <w:t>3237</w:t>
            </w:r>
          </w:p>
        </w:tc>
        <w:tc>
          <w:tcPr>
            <w:tcMar>
              <w:top w:w="0" w:type="dxa"/>
              <w:bottom w:w="0" w:type="dxa"/>
            </w:tcMar>
            <w:vAlign w:val="center"/>
          </w:tcPr>
          <w:p w14:paraId="05EAFB8F">
            <w:pPr>
              <w:keepNext/>
              <w:keepLines/>
              <w:spacing w:before="0" w:after="0" w:line="240" w:lineRule="auto"/>
              <w:jc w:val="right"/>
            </w:pPr>
            <w:r>
              <w:rPr>
                <w:rFonts w:ascii="Times New Roman" w:hAnsi="Times New Roman"/>
                <w:sz w:val="18"/>
              </w:rPr>
              <w:t>1.353,84</w:t>
            </w:r>
          </w:p>
        </w:tc>
        <w:tc>
          <w:tcPr>
            <w:tcMar>
              <w:top w:w="0" w:type="dxa"/>
              <w:bottom w:w="0" w:type="dxa"/>
            </w:tcMar>
            <w:vAlign w:val="center"/>
          </w:tcPr>
          <w:p w14:paraId="32FC0002">
            <w:pPr>
              <w:keepNext/>
              <w:keepLines/>
              <w:spacing w:before="0" w:after="0" w:line="240" w:lineRule="auto"/>
              <w:jc w:val="right"/>
            </w:pPr>
            <w:r>
              <w:rPr>
                <w:rFonts w:ascii="Times New Roman" w:hAnsi="Times New Roman"/>
                <w:sz w:val="18"/>
              </w:rPr>
              <w:t>4.172,05</w:t>
            </w:r>
          </w:p>
        </w:tc>
        <w:tc>
          <w:tcPr>
            <w:tcMar>
              <w:top w:w="0" w:type="dxa"/>
              <w:bottom w:w="0" w:type="dxa"/>
            </w:tcMar>
            <w:vAlign w:val="center"/>
          </w:tcPr>
          <w:p w14:paraId="2EAF56FC">
            <w:pPr>
              <w:keepNext/>
              <w:keepLines/>
              <w:spacing w:before="0" w:after="0" w:line="240" w:lineRule="auto"/>
              <w:jc w:val="right"/>
            </w:pPr>
            <w:r>
              <w:rPr>
                <w:rFonts w:ascii="Times New Roman" w:hAnsi="Times New Roman"/>
                <w:sz w:val="18"/>
              </w:rPr>
              <w:t>308,2</w:t>
            </w:r>
          </w:p>
        </w:tc>
      </w:tr>
    </w:tbl>
    <w:p w14:paraId="4593824F">
      <w:pPr>
        <w:spacing w:before="0" w:after="0"/>
      </w:pPr>
    </w:p>
    <w:p w14:paraId="71614F9A">
      <w:r>
        <w:t>Nagrade djelatnicima vezanim za Centar izvrsnosti</w:t>
      </w:r>
    </w:p>
    <w:p w14:paraId="286161A8"/>
    <w:p w14:paraId="14A5CFC2">
      <w:pPr>
        <w:keepNext/>
        <w:spacing w:line="240" w:lineRule="auto"/>
        <w:jc w:val="center"/>
      </w:pPr>
      <w:r>
        <w:rPr>
          <w:rFonts w:ascii="Times New Roman" w:hAnsi="Times New Roman"/>
          <w:sz w:val="28"/>
        </w:rPr>
        <w:t>Bilješka 12.</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B6CEFFC">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7FCFB22">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759B08A3">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15683A0F">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308B3107">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B1AF700">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0D45425F">
            <w:pPr>
              <w:keepNext/>
              <w:keepLines/>
              <w:spacing w:before="0" w:after="0" w:line="240" w:lineRule="auto"/>
              <w:jc w:val="center"/>
            </w:pPr>
            <w:r>
              <w:rPr>
                <w:rFonts w:ascii="Times New Roman" w:hAnsi="Times New Roman"/>
                <w:b/>
                <w:sz w:val="18"/>
              </w:rPr>
              <w:t>Indeks (%)</w:t>
            </w:r>
          </w:p>
        </w:tc>
      </w:tr>
      <w:tr w14:paraId="462CF28A">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A1F1AAD">
            <w:pPr>
              <w:keepNext/>
              <w:keepLines/>
              <w:spacing w:before="0" w:after="0" w:line="240" w:lineRule="auto"/>
              <w:jc w:val="left"/>
            </w:pPr>
            <w:r>
              <w:rPr>
                <w:rFonts w:ascii="Times New Roman" w:hAnsi="Times New Roman"/>
                <w:sz w:val="18"/>
              </w:rPr>
              <w:t>96, 97</w:t>
            </w:r>
          </w:p>
        </w:tc>
        <w:tc>
          <w:tcPr>
            <w:tcMar>
              <w:top w:w="0" w:type="dxa"/>
              <w:bottom w:w="0" w:type="dxa"/>
            </w:tcMar>
            <w:vAlign w:val="center"/>
          </w:tcPr>
          <w:p w14:paraId="34AED29F">
            <w:pPr>
              <w:keepNext/>
              <w:keepLines/>
              <w:spacing w:before="0" w:after="0" w:line="240" w:lineRule="auto"/>
              <w:jc w:val="left"/>
            </w:pPr>
            <w:r>
              <w:rPr>
                <w:rFonts w:ascii="Times New Roman" w:hAnsi="Times New Roman"/>
                <w:sz w:val="18"/>
              </w:rPr>
              <w:t>Obračunati prihodi poslovanja i od prodaje nefinancijske imovine - nenaplaćeni (šifre 96+97)</w:t>
            </w:r>
          </w:p>
        </w:tc>
        <w:tc>
          <w:tcPr>
            <w:tcMar>
              <w:top w:w="0" w:type="dxa"/>
              <w:bottom w:w="0" w:type="dxa"/>
            </w:tcMar>
            <w:vAlign w:val="center"/>
          </w:tcPr>
          <w:p w14:paraId="2CCC089E">
            <w:pPr>
              <w:keepNext/>
              <w:keepLines/>
              <w:spacing w:before="0" w:after="0" w:line="240" w:lineRule="auto"/>
              <w:jc w:val="left"/>
            </w:pPr>
            <w:r>
              <w:rPr>
                <w:rFonts w:ascii="Times New Roman" w:hAnsi="Times New Roman"/>
                <w:sz w:val="18"/>
              </w:rPr>
              <w:t>96,97</w:t>
            </w:r>
          </w:p>
        </w:tc>
        <w:tc>
          <w:tcPr>
            <w:tcMar>
              <w:top w:w="0" w:type="dxa"/>
              <w:bottom w:w="0" w:type="dxa"/>
            </w:tcMar>
            <w:vAlign w:val="center"/>
          </w:tcPr>
          <w:p w14:paraId="6339C03C">
            <w:pPr>
              <w:keepNext/>
              <w:keepLines/>
              <w:spacing w:before="0" w:after="0" w:line="240" w:lineRule="auto"/>
              <w:jc w:val="right"/>
            </w:pPr>
            <w:r>
              <w:rPr>
                <w:rFonts w:ascii="Times New Roman" w:hAnsi="Times New Roman"/>
                <w:sz w:val="18"/>
              </w:rPr>
              <w:t>2.052,91</w:t>
            </w:r>
          </w:p>
        </w:tc>
        <w:tc>
          <w:tcPr>
            <w:tcMar>
              <w:top w:w="0" w:type="dxa"/>
              <w:bottom w:w="0" w:type="dxa"/>
            </w:tcMar>
            <w:vAlign w:val="center"/>
          </w:tcPr>
          <w:p w14:paraId="4B76E819">
            <w:pPr>
              <w:keepNext/>
              <w:keepLines/>
              <w:spacing w:before="0" w:after="0" w:line="240" w:lineRule="auto"/>
              <w:jc w:val="right"/>
            </w:pPr>
            <w:r>
              <w:rPr>
                <w:rFonts w:ascii="Times New Roman" w:hAnsi="Times New Roman"/>
                <w:sz w:val="18"/>
              </w:rPr>
              <w:t>140.849,59</w:t>
            </w:r>
          </w:p>
        </w:tc>
        <w:tc>
          <w:tcPr>
            <w:tcMar>
              <w:top w:w="0" w:type="dxa"/>
              <w:bottom w:w="0" w:type="dxa"/>
            </w:tcMar>
            <w:vAlign w:val="center"/>
          </w:tcPr>
          <w:p w14:paraId="187C252C">
            <w:pPr>
              <w:keepNext/>
              <w:keepLines/>
              <w:spacing w:before="0" w:after="0" w:line="240" w:lineRule="auto"/>
              <w:jc w:val="right"/>
            </w:pPr>
            <w:r>
              <w:rPr>
                <w:rFonts w:ascii="Times New Roman" w:hAnsi="Times New Roman"/>
                <w:sz w:val="18"/>
              </w:rPr>
              <w:t>6861,0</w:t>
            </w:r>
          </w:p>
        </w:tc>
      </w:tr>
    </w:tbl>
    <w:p w14:paraId="68CC5475">
      <w:pPr>
        <w:spacing w:before="0" w:after="0"/>
      </w:pPr>
    </w:p>
    <w:p w14:paraId="23C63E13">
      <w:r>
        <w:t>Odnosi se na plaću za prosinac, za neplaćene račune za produženi boravak</w:t>
      </w:r>
    </w:p>
    <w:p w14:paraId="44629DC8"/>
    <w:p w14:paraId="3E1BC41A">
      <w:pPr>
        <w:keepNext/>
        <w:spacing w:line="240" w:lineRule="auto"/>
        <w:jc w:val="center"/>
      </w:pPr>
      <w:r>
        <w:rPr>
          <w:rFonts w:ascii="Times New Roman" w:hAnsi="Times New Roman"/>
          <w:b/>
          <w:sz w:val="28"/>
        </w:rPr>
        <w:t>Bilanca</w:t>
      </w:r>
    </w:p>
    <w:p w14:paraId="3359AE4D">
      <w:pPr>
        <w:keepNext/>
        <w:spacing w:line="240" w:lineRule="auto"/>
        <w:jc w:val="center"/>
      </w:pPr>
      <w:r>
        <w:rPr>
          <w:rFonts w:ascii="Times New Roman" w:hAnsi="Times New Roman"/>
          <w:sz w:val="28"/>
        </w:rPr>
        <w:t>Bilješka 13.</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45F373F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AC37B6F">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7B7276C">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5B573B28">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4E4E7CA6">
            <w:pPr>
              <w:keepNext/>
              <w:keepLines/>
              <w:spacing w:before="0" w:after="0" w:line="240" w:lineRule="auto"/>
              <w:jc w:val="center"/>
            </w:pPr>
            <w:r>
              <w:rPr>
                <w:rFonts w:ascii="Times New Roman" w:hAnsi="Times New Roman"/>
                <w:b/>
                <w:sz w:val="18"/>
              </w:rPr>
              <w:t>Stanje 1. siječnja</w:t>
            </w:r>
          </w:p>
        </w:tc>
        <w:tc>
          <w:tcPr>
            <w:shd w:val="clear" w:color="auto" w:fill="E7F0F9"/>
            <w:tcMar>
              <w:top w:w="0" w:type="dxa"/>
              <w:bottom w:w="0" w:type="dxa"/>
            </w:tcMar>
            <w:vAlign w:val="center"/>
          </w:tcPr>
          <w:p w14:paraId="252AB8B1">
            <w:pPr>
              <w:keepNext/>
              <w:keepLines/>
              <w:spacing w:before="0" w:after="0" w:line="240" w:lineRule="auto"/>
              <w:jc w:val="center"/>
            </w:pPr>
            <w:r>
              <w:rPr>
                <w:rFonts w:ascii="Times New Roman" w:hAnsi="Times New Roman"/>
                <w:b/>
                <w:sz w:val="18"/>
              </w:rPr>
              <w:t>Stanje 31. prosinca</w:t>
            </w:r>
          </w:p>
        </w:tc>
        <w:tc>
          <w:tcPr>
            <w:shd w:val="clear" w:color="auto" w:fill="E7F0F9"/>
            <w:tcMar>
              <w:top w:w="0" w:type="dxa"/>
              <w:bottom w:w="0" w:type="dxa"/>
            </w:tcMar>
            <w:vAlign w:val="center"/>
          </w:tcPr>
          <w:p w14:paraId="6238899B">
            <w:pPr>
              <w:keepNext/>
              <w:keepLines/>
              <w:spacing w:before="0" w:after="0" w:line="240" w:lineRule="auto"/>
              <w:jc w:val="center"/>
            </w:pPr>
            <w:r>
              <w:rPr>
                <w:rFonts w:ascii="Times New Roman" w:hAnsi="Times New Roman"/>
                <w:b/>
                <w:sz w:val="18"/>
              </w:rPr>
              <w:t>Indeks (%)</w:t>
            </w:r>
          </w:p>
        </w:tc>
      </w:tr>
      <w:tr w14:paraId="228B5D92">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3F06945B">
            <w:pPr>
              <w:keepNext/>
              <w:keepLines/>
              <w:spacing w:before="0" w:after="0" w:line="240" w:lineRule="auto"/>
              <w:jc w:val="left"/>
            </w:pPr>
            <w:r>
              <w:rPr>
                <w:rFonts w:ascii="Times New Roman" w:hAnsi="Times New Roman"/>
                <w:sz w:val="18"/>
              </w:rPr>
              <w:t>16</w:t>
            </w:r>
          </w:p>
        </w:tc>
        <w:tc>
          <w:tcPr>
            <w:tcMar>
              <w:top w:w="0" w:type="dxa"/>
              <w:bottom w:w="0" w:type="dxa"/>
            </w:tcMar>
            <w:vAlign w:val="center"/>
          </w:tcPr>
          <w:p w14:paraId="5D1F9652">
            <w:pPr>
              <w:keepNext/>
              <w:keepLines/>
              <w:spacing w:before="0" w:after="0" w:line="240" w:lineRule="auto"/>
              <w:jc w:val="left"/>
            </w:pPr>
            <w:r>
              <w:rPr>
                <w:rFonts w:ascii="Times New Roman" w:hAnsi="Times New Roman"/>
                <w:sz w:val="18"/>
              </w:rPr>
              <w:t>Potraživanja za prihode poslovanja (šifre 161 do 163 + 164 do 168-169)</w:t>
            </w:r>
          </w:p>
        </w:tc>
        <w:tc>
          <w:tcPr>
            <w:tcMar>
              <w:top w:w="0" w:type="dxa"/>
              <w:bottom w:w="0" w:type="dxa"/>
            </w:tcMar>
            <w:vAlign w:val="center"/>
          </w:tcPr>
          <w:p w14:paraId="33234606">
            <w:pPr>
              <w:keepNext/>
              <w:keepLines/>
              <w:spacing w:before="0" w:after="0" w:line="240" w:lineRule="auto"/>
              <w:jc w:val="left"/>
            </w:pPr>
            <w:r>
              <w:rPr>
                <w:rFonts w:ascii="Times New Roman" w:hAnsi="Times New Roman"/>
                <w:sz w:val="18"/>
              </w:rPr>
              <w:t>16</w:t>
            </w:r>
          </w:p>
        </w:tc>
        <w:tc>
          <w:tcPr>
            <w:tcMar>
              <w:top w:w="0" w:type="dxa"/>
              <w:bottom w:w="0" w:type="dxa"/>
            </w:tcMar>
            <w:vAlign w:val="center"/>
          </w:tcPr>
          <w:p w14:paraId="6EF07A0F">
            <w:pPr>
              <w:keepNext/>
              <w:keepLines/>
              <w:spacing w:before="0" w:after="0" w:line="240" w:lineRule="auto"/>
              <w:jc w:val="right"/>
            </w:pPr>
            <w:r>
              <w:rPr>
                <w:rFonts w:ascii="Times New Roman" w:hAnsi="Times New Roman"/>
                <w:sz w:val="18"/>
              </w:rPr>
              <w:t>2.052,91</w:t>
            </w:r>
          </w:p>
        </w:tc>
        <w:tc>
          <w:tcPr>
            <w:tcMar>
              <w:top w:w="0" w:type="dxa"/>
              <w:bottom w:w="0" w:type="dxa"/>
            </w:tcMar>
            <w:vAlign w:val="center"/>
          </w:tcPr>
          <w:p w14:paraId="387BDAEE">
            <w:pPr>
              <w:keepNext/>
              <w:keepLines/>
              <w:spacing w:before="0" w:after="0" w:line="240" w:lineRule="auto"/>
              <w:jc w:val="right"/>
            </w:pPr>
            <w:r>
              <w:rPr>
                <w:rFonts w:ascii="Times New Roman" w:hAnsi="Times New Roman"/>
                <w:sz w:val="18"/>
              </w:rPr>
              <w:t>192.925,22</w:t>
            </w:r>
          </w:p>
        </w:tc>
        <w:tc>
          <w:tcPr>
            <w:tcMar>
              <w:top w:w="0" w:type="dxa"/>
              <w:bottom w:w="0" w:type="dxa"/>
            </w:tcMar>
            <w:vAlign w:val="center"/>
          </w:tcPr>
          <w:p w14:paraId="504229DF">
            <w:pPr>
              <w:keepNext/>
              <w:keepLines/>
              <w:spacing w:before="0" w:after="0" w:line="240" w:lineRule="auto"/>
              <w:jc w:val="right"/>
            </w:pPr>
            <w:r>
              <w:rPr>
                <w:rFonts w:ascii="Times New Roman" w:hAnsi="Times New Roman"/>
                <w:sz w:val="18"/>
              </w:rPr>
              <w:t>9397,6</w:t>
            </w:r>
          </w:p>
        </w:tc>
      </w:tr>
    </w:tbl>
    <w:p w14:paraId="24B58FE4">
      <w:pPr>
        <w:spacing w:before="0" w:after="0"/>
      </w:pPr>
    </w:p>
    <w:p w14:paraId="454DB391">
      <w:r>
        <w:t>potraživanje za plaću za prosinac</w:t>
      </w:r>
    </w:p>
    <w:p w14:paraId="5BF0A776"/>
    <w:p w14:paraId="52481034">
      <w:pPr>
        <w:keepNext/>
        <w:spacing w:line="240" w:lineRule="auto"/>
        <w:jc w:val="center"/>
      </w:pPr>
      <w:r>
        <w:rPr>
          <w:rFonts w:ascii="Times New Roman" w:hAnsi="Times New Roman"/>
          <w:b/>
          <w:sz w:val="28"/>
        </w:rPr>
        <w:t>Izvještaj o rashodima prema funkcijskoj klasifikaciji</w:t>
      </w:r>
    </w:p>
    <w:p w14:paraId="55D9C010">
      <w:pPr>
        <w:keepNext/>
        <w:spacing w:line="240" w:lineRule="auto"/>
        <w:jc w:val="center"/>
      </w:pPr>
      <w:r>
        <w:rPr>
          <w:rFonts w:ascii="Times New Roman" w:hAnsi="Times New Roman"/>
          <w:sz w:val="28"/>
        </w:rPr>
        <w:t>Bilješka 14.</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13EA68C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47675028">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76AAB7A3">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B6BB10C">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0FC27779">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58EECC24">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6C934F27">
            <w:pPr>
              <w:keepNext/>
              <w:keepLines/>
              <w:spacing w:before="0" w:after="0" w:line="240" w:lineRule="auto"/>
              <w:jc w:val="center"/>
            </w:pPr>
            <w:r>
              <w:rPr>
                <w:rFonts w:ascii="Times New Roman" w:hAnsi="Times New Roman"/>
                <w:b/>
                <w:sz w:val="18"/>
              </w:rPr>
              <w:t>Indeks (%)</w:t>
            </w:r>
          </w:p>
        </w:tc>
      </w:tr>
      <w:tr w14:paraId="420485FF">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3E08EF48">
            <w:pPr>
              <w:keepNext/>
              <w:keepLines/>
              <w:spacing w:before="0" w:after="0" w:line="240" w:lineRule="auto"/>
              <w:jc w:val="left"/>
            </w:pPr>
            <w:r>
              <w:rPr>
                <w:rFonts w:ascii="Times New Roman" w:hAnsi="Times New Roman"/>
                <w:sz w:val="18"/>
              </w:rPr>
              <w:t>09</w:t>
            </w:r>
          </w:p>
        </w:tc>
        <w:tc>
          <w:tcPr>
            <w:tcMar>
              <w:top w:w="0" w:type="dxa"/>
              <w:bottom w:w="0" w:type="dxa"/>
            </w:tcMar>
            <w:vAlign w:val="center"/>
          </w:tcPr>
          <w:p w14:paraId="13EF7907">
            <w:pPr>
              <w:keepNext/>
              <w:keepLines/>
              <w:spacing w:before="0" w:after="0" w:line="240" w:lineRule="auto"/>
              <w:jc w:val="left"/>
            </w:pPr>
            <w:r>
              <w:rPr>
                <w:rFonts w:ascii="Times New Roman" w:hAnsi="Times New Roman"/>
                <w:sz w:val="18"/>
              </w:rPr>
              <w:t>Obrazovanje (šifre 091+092+093+094+095+096+097+098)</w:t>
            </w:r>
          </w:p>
        </w:tc>
        <w:tc>
          <w:tcPr>
            <w:tcMar>
              <w:top w:w="0" w:type="dxa"/>
              <w:bottom w:w="0" w:type="dxa"/>
            </w:tcMar>
            <w:vAlign w:val="center"/>
          </w:tcPr>
          <w:p w14:paraId="5BDF445A">
            <w:pPr>
              <w:keepNext/>
              <w:keepLines/>
              <w:spacing w:before="0" w:after="0" w:line="240" w:lineRule="auto"/>
              <w:jc w:val="left"/>
            </w:pPr>
            <w:r>
              <w:rPr>
                <w:rFonts w:ascii="Times New Roman" w:hAnsi="Times New Roman"/>
                <w:sz w:val="18"/>
              </w:rPr>
              <w:t>09</w:t>
            </w:r>
          </w:p>
        </w:tc>
        <w:tc>
          <w:tcPr>
            <w:tcMar>
              <w:top w:w="0" w:type="dxa"/>
              <w:bottom w:w="0" w:type="dxa"/>
            </w:tcMar>
            <w:vAlign w:val="center"/>
          </w:tcPr>
          <w:p w14:paraId="04B28869">
            <w:pPr>
              <w:keepNext/>
              <w:keepLines/>
              <w:spacing w:before="0" w:after="0" w:line="240" w:lineRule="auto"/>
              <w:jc w:val="right"/>
            </w:pPr>
            <w:r>
              <w:rPr>
                <w:rFonts w:ascii="Times New Roman" w:hAnsi="Times New Roman"/>
                <w:sz w:val="18"/>
              </w:rPr>
              <w:t>1.937.471,99</w:t>
            </w:r>
          </w:p>
        </w:tc>
        <w:tc>
          <w:tcPr>
            <w:tcMar>
              <w:top w:w="0" w:type="dxa"/>
              <w:bottom w:w="0" w:type="dxa"/>
            </w:tcMar>
            <w:vAlign w:val="center"/>
          </w:tcPr>
          <w:p w14:paraId="652E3F37">
            <w:pPr>
              <w:keepNext/>
              <w:keepLines/>
              <w:spacing w:before="0" w:after="0" w:line="240" w:lineRule="auto"/>
              <w:jc w:val="right"/>
            </w:pPr>
            <w:r>
              <w:rPr>
                <w:rFonts w:ascii="Times New Roman" w:hAnsi="Times New Roman"/>
                <w:sz w:val="18"/>
              </w:rPr>
              <w:t>2.241.240,69</w:t>
            </w:r>
          </w:p>
        </w:tc>
        <w:tc>
          <w:tcPr>
            <w:tcMar>
              <w:top w:w="0" w:type="dxa"/>
              <w:bottom w:w="0" w:type="dxa"/>
            </w:tcMar>
            <w:vAlign w:val="center"/>
          </w:tcPr>
          <w:p w14:paraId="2A499F21">
            <w:pPr>
              <w:keepNext/>
              <w:keepLines/>
              <w:spacing w:before="0" w:after="0" w:line="240" w:lineRule="auto"/>
              <w:jc w:val="right"/>
            </w:pPr>
            <w:r>
              <w:rPr>
                <w:rFonts w:ascii="Times New Roman" w:hAnsi="Times New Roman"/>
                <w:sz w:val="18"/>
              </w:rPr>
              <w:t>115,7</w:t>
            </w:r>
          </w:p>
        </w:tc>
      </w:tr>
    </w:tbl>
    <w:p w14:paraId="321C49F4">
      <w:pPr>
        <w:spacing w:before="0" w:after="0"/>
      </w:pPr>
    </w:p>
    <w:p w14:paraId="4184B465">
      <w:r>
        <w:t>Uvršteni su svi rashodi iz obrasca PR-RAS</w:t>
      </w:r>
    </w:p>
    <w:p w14:paraId="2E3DE80E"/>
    <w:p w14:paraId="26B0B4DD">
      <w:pPr>
        <w:keepNext/>
        <w:spacing w:line="240" w:lineRule="auto"/>
        <w:jc w:val="center"/>
      </w:pPr>
      <w:r>
        <w:rPr>
          <w:rFonts w:ascii="Times New Roman" w:hAnsi="Times New Roman"/>
          <w:b/>
          <w:sz w:val="28"/>
        </w:rPr>
        <w:t>Promjene u vrijednosti i obujmu imovine i obveza</w:t>
      </w:r>
    </w:p>
    <w:p w14:paraId="64407B22">
      <w:pPr>
        <w:keepNext/>
        <w:spacing w:line="240" w:lineRule="auto"/>
        <w:jc w:val="center"/>
      </w:pPr>
      <w:r>
        <w:rPr>
          <w:rFonts w:ascii="Times New Roman" w:hAnsi="Times New Roman"/>
          <w:sz w:val="28"/>
        </w:rPr>
        <w:t>Bilješka 15.</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BADF745">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777E694">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E5017DB">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1C3D2FB">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55896338">
            <w:pPr>
              <w:keepNext/>
              <w:keepLines/>
              <w:spacing w:before="0" w:after="0" w:line="240" w:lineRule="auto"/>
              <w:jc w:val="center"/>
            </w:pPr>
            <w:r>
              <w:rPr>
                <w:rFonts w:ascii="Times New Roman" w:hAnsi="Times New Roman"/>
                <w:b/>
                <w:sz w:val="18"/>
              </w:rPr>
              <w:t>Iznos povećanja</w:t>
            </w:r>
          </w:p>
        </w:tc>
        <w:tc>
          <w:tcPr>
            <w:shd w:val="clear" w:color="auto" w:fill="E7F0F9"/>
            <w:tcMar>
              <w:top w:w="0" w:type="dxa"/>
              <w:bottom w:w="0" w:type="dxa"/>
            </w:tcMar>
            <w:vAlign w:val="center"/>
          </w:tcPr>
          <w:p w14:paraId="4C1EA2F3">
            <w:pPr>
              <w:keepNext/>
              <w:keepLines/>
              <w:spacing w:before="0" w:after="0" w:line="240" w:lineRule="auto"/>
              <w:jc w:val="center"/>
            </w:pPr>
            <w:r>
              <w:rPr>
                <w:rFonts w:ascii="Times New Roman" w:hAnsi="Times New Roman"/>
                <w:b/>
                <w:sz w:val="18"/>
              </w:rPr>
              <w:t>Iznos smanjenja</w:t>
            </w:r>
          </w:p>
        </w:tc>
        <w:tc>
          <w:tcPr>
            <w:shd w:val="clear" w:color="auto" w:fill="E7F0F9"/>
            <w:tcMar>
              <w:top w:w="0" w:type="dxa"/>
              <w:bottom w:w="0" w:type="dxa"/>
            </w:tcMar>
            <w:vAlign w:val="center"/>
          </w:tcPr>
          <w:p w14:paraId="7CBB040E">
            <w:pPr>
              <w:keepNext/>
              <w:keepLines/>
              <w:spacing w:before="0" w:after="0" w:line="240" w:lineRule="auto"/>
              <w:jc w:val="center"/>
            </w:pPr>
            <w:r>
              <w:rPr>
                <w:rFonts w:ascii="Times New Roman" w:hAnsi="Times New Roman"/>
                <w:b/>
                <w:sz w:val="18"/>
              </w:rPr>
              <w:t>Indeks (%)</w:t>
            </w:r>
          </w:p>
        </w:tc>
      </w:tr>
      <w:tr w14:paraId="6001EFF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0CAE669">
            <w:pPr>
              <w:keepNext/>
              <w:keepLines/>
              <w:spacing w:before="0" w:after="0" w:line="240" w:lineRule="auto"/>
              <w:jc w:val="left"/>
            </w:pPr>
            <w:r>
              <w:rPr>
                <w:rFonts w:ascii="Times New Roman" w:hAnsi="Times New Roman"/>
                <w:sz w:val="18"/>
              </w:rPr>
              <w:t>9151</w:t>
            </w:r>
          </w:p>
        </w:tc>
        <w:tc>
          <w:tcPr>
            <w:tcMar>
              <w:top w:w="0" w:type="dxa"/>
              <w:bottom w:w="0" w:type="dxa"/>
            </w:tcMar>
            <w:vAlign w:val="center"/>
          </w:tcPr>
          <w:p w14:paraId="1672C81C">
            <w:pPr>
              <w:keepNext/>
              <w:keepLines/>
              <w:spacing w:before="0" w:after="0" w:line="240" w:lineRule="auto"/>
              <w:jc w:val="left"/>
            </w:pPr>
            <w:r>
              <w:rPr>
                <w:rFonts w:ascii="Times New Roman" w:hAnsi="Times New Roman"/>
                <w:sz w:val="18"/>
              </w:rPr>
              <w:t>Promjene u vrijednosti i obujmu imovine (šifre 91511+91512)</w:t>
            </w:r>
          </w:p>
        </w:tc>
        <w:tc>
          <w:tcPr>
            <w:tcMar>
              <w:top w:w="0" w:type="dxa"/>
              <w:bottom w:w="0" w:type="dxa"/>
            </w:tcMar>
            <w:vAlign w:val="center"/>
          </w:tcPr>
          <w:p w14:paraId="59DB25D2">
            <w:pPr>
              <w:keepNext/>
              <w:keepLines/>
              <w:spacing w:before="0" w:after="0" w:line="240" w:lineRule="auto"/>
              <w:jc w:val="left"/>
            </w:pPr>
            <w:r>
              <w:rPr>
                <w:rFonts w:ascii="Times New Roman" w:hAnsi="Times New Roman"/>
                <w:sz w:val="18"/>
              </w:rPr>
              <w:t>9151</w:t>
            </w:r>
          </w:p>
        </w:tc>
        <w:tc>
          <w:tcPr>
            <w:tcMar>
              <w:top w:w="0" w:type="dxa"/>
              <w:bottom w:w="0" w:type="dxa"/>
            </w:tcMar>
            <w:vAlign w:val="center"/>
          </w:tcPr>
          <w:p w14:paraId="1CBE9FE2">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597357D9">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6A028085">
            <w:pPr>
              <w:keepNext/>
              <w:keepLines/>
              <w:spacing w:before="0" w:after="0" w:line="240" w:lineRule="auto"/>
              <w:jc w:val="right"/>
            </w:pPr>
            <w:r>
              <w:rPr>
                <w:rFonts w:ascii="Times New Roman" w:hAnsi="Times New Roman"/>
                <w:sz w:val="18"/>
              </w:rPr>
              <w:t>-</w:t>
            </w:r>
          </w:p>
        </w:tc>
      </w:tr>
    </w:tbl>
    <w:p w14:paraId="236EDAF6">
      <w:pPr>
        <w:spacing w:before="0" w:after="0"/>
      </w:pPr>
    </w:p>
    <w:p w14:paraId="0D0D9945">
      <w:r>
        <w:t>u  2024. godini nije bilo promjene  u vrijednosti i obujme imovine i obveza</w:t>
      </w:r>
    </w:p>
    <w:p w14:paraId="27747886"/>
    <w:p w14:paraId="5A55990B">
      <w:pPr>
        <w:keepNext/>
        <w:spacing w:line="240" w:lineRule="auto"/>
        <w:jc w:val="center"/>
      </w:pPr>
      <w:r>
        <w:rPr>
          <w:rFonts w:ascii="Times New Roman" w:hAnsi="Times New Roman"/>
          <w:b/>
          <w:sz w:val="28"/>
        </w:rPr>
        <w:t>Izvještaj o obvezama</w:t>
      </w:r>
    </w:p>
    <w:p w14:paraId="2121076B">
      <w:pPr>
        <w:keepNext/>
        <w:spacing w:line="240" w:lineRule="auto"/>
        <w:jc w:val="center"/>
      </w:pPr>
      <w:r>
        <w:rPr>
          <w:rFonts w:ascii="Times New Roman" w:hAnsi="Times New Roman"/>
          <w:sz w:val="28"/>
        </w:rPr>
        <w:t>Bilješka 16.</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700"/>
      </w:tblGrid>
      <w:tr w14:paraId="25505A5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6C526CBC">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0523289C">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760F65D5">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7ECF130">
            <w:pPr>
              <w:keepNext/>
              <w:keepLines/>
              <w:spacing w:before="0" w:after="0" w:line="240" w:lineRule="auto"/>
              <w:jc w:val="center"/>
            </w:pPr>
            <w:r>
              <w:rPr>
                <w:rFonts w:ascii="Times New Roman" w:hAnsi="Times New Roman"/>
                <w:b/>
                <w:sz w:val="18"/>
              </w:rPr>
              <w:t>Iznos</w:t>
            </w:r>
          </w:p>
        </w:tc>
        <w:tc>
          <w:tcPr>
            <w:shd w:val="clear" w:color="auto" w:fill="E7F0F9"/>
            <w:tcMar>
              <w:top w:w="0" w:type="dxa"/>
              <w:bottom w:w="0" w:type="dxa"/>
            </w:tcMar>
            <w:vAlign w:val="center"/>
          </w:tcPr>
          <w:p w14:paraId="564AF982">
            <w:pPr>
              <w:keepNext/>
              <w:keepLines/>
              <w:spacing w:before="0" w:after="0" w:line="240" w:lineRule="auto"/>
              <w:jc w:val="center"/>
            </w:pPr>
            <w:r>
              <w:rPr>
                <w:rFonts w:ascii="Times New Roman" w:hAnsi="Times New Roman"/>
                <w:b/>
                <w:sz w:val="18"/>
              </w:rPr>
              <w:t>Indeks (%)</w:t>
            </w:r>
          </w:p>
        </w:tc>
      </w:tr>
      <w:tr w14:paraId="30E7B006">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17F6F740">
            <w:pPr>
              <w:keepNext/>
              <w:keepLines/>
              <w:spacing w:before="0" w:after="0" w:line="240" w:lineRule="auto"/>
              <w:jc w:val="left"/>
            </w:pPr>
            <w:r>
              <w:rPr>
                <w:rFonts w:ascii="Times New Roman" w:hAnsi="Times New Roman"/>
                <w:sz w:val="18"/>
              </w:rPr>
              <w:t>231</w:t>
            </w:r>
          </w:p>
        </w:tc>
        <w:tc>
          <w:tcPr>
            <w:tcMar>
              <w:top w:w="0" w:type="dxa"/>
              <w:bottom w:w="0" w:type="dxa"/>
            </w:tcMar>
            <w:vAlign w:val="center"/>
          </w:tcPr>
          <w:p w14:paraId="604B2AAA">
            <w:pPr>
              <w:keepNext/>
              <w:keepLines/>
              <w:spacing w:before="0" w:after="0" w:line="240" w:lineRule="auto"/>
              <w:jc w:val="left"/>
            </w:pPr>
            <w:r>
              <w:rPr>
                <w:rFonts w:ascii="Times New Roman" w:hAnsi="Times New Roman"/>
                <w:sz w:val="18"/>
              </w:rPr>
              <w:t>Obveze za zaposlene</w:t>
            </w:r>
          </w:p>
        </w:tc>
        <w:tc>
          <w:tcPr>
            <w:tcMar>
              <w:top w:w="0" w:type="dxa"/>
              <w:bottom w:w="0" w:type="dxa"/>
            </w:tcMar>
            <w:vAlign w:val="center"/>
          </w:tcPr>
          <w:p w14:paraId="72FE23F0">
            <w:pPr>
              <w:keepNext/>
              <w:keepLines/>
              <w:spacing w:before="0" w:after="0" w:line="240" w:lineRule="auto"/>
              <w:jc w:val="left"/>
            </w:pPr>
            <w:r>
              <w:rPr>
                <w:rFonts w:ascii="Times New Roman" w:hAnsi="Times New Roman"/>
                <w:sz w:val="18"/>
              </w:rPr>
              <w:t>N231</w:t>
            </w:r>
          </w:p>
        </w:tc>
        <w:tc>
          <w:tcPr>
            <w:tcMar>
              <w:top w:w="0" w:type="dxa"/>
              <w:bottom w:w="0" w:type="dxa"/>
            </w:tcMar>
            <w:vAlign w:val="center"/>
          </w:tcPr>
          <w:p w14:paraId="46287248">
            <w:pPr>
              <w:keepNext/>
              <w:keepLines/>
              <w:spacing w:before="0" w:after="0" w:line="240" w:lineRule="auto"/>
              <w:jc w:val="right"/>
            </w:pPr>
            <w:r>
              <w:rPr>
                <w:rFonts w:ascii="Times New Roman" w:hAnsi="Times New Roman"/>
                <w:sz w:val="18"/>
              </w:rPr>
              <w:t>140.010,19</w:t>
            </w:r>
          </w:p>
        </w:tc>
        <w:tc>
          <w:tcPr>
            <w:tcMar>
              <w:top w:w="0" w:type="dxa"/>
              <w:bottom w:w="0" w:type="dxa"/>
            </w:tcMar>
            <w:vAlign w:val="center"/>
          </w:tcPr>
          <w:p w14:paraId="447CBB0B">
            <w:pPr>
              <w:keepNext/>
              <w:keepLines/>
              <w:spacing w:before="0" w:after="0" w:line="240" w:lineRule="auto"/>
              <w:jc w:val="right"/>
            </w:pPr>
            <w:r>
              <w:rPr>
                <w:rFonts w:ascii="Times New Roman" w:hAnsi="Times New Roman"/>
                <w:sz w:val="18"/>
              </w:rPr>
              <w:t>-</w:t>
            </w:r>
          </w:p>
        </w:tc>
      </w:tr>
    </w:tbl>
    <w:p w14:paraId="4357066A">
      <w:pPr>
        <w:spacing w:before="0" w:after="0"/>
      </w:pPr>
    </w:p>
    <w:p w14:paraId="51CE5CC1">
      <w:r>
        <w:t>odnosi se na plaću za prosinac koja je isplaćena u siječnju</w:t>
      </w:r>
    </w:p>
    <w:p w14:paraId="7FC41AFA"/>
    <w:p w14:paraId="2A15F7CE">
      <w:pPr>
        <w:keepNext/>
        <w:spacing w:line="240" w:lineRule="auto"/>
        <w:jc w:val="center"/>
      </w:pPr>
      <w:r>
        <w:rPr>
          <w:rFonts w:ascii="Times New Roman" w:hAnsi="Times New Roman"/>
          <w:sz w:val="28"/>
        </w:rPr>
        <w:t>Bilješka 17.</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700"/>
      </w:tblGrid>
      <w:tr w14:paraId="417D4FE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FF2FCD3">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047E0502">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1B2195C2">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6D2A7C09">
            <w:pPr>
              <w:keepNext/>
              <w:keepLines/>
              <w:spacing w:before="0" w:after="0" w:line="240" w:lineRule="auto"/>
              <w:jc w:val="center"/>
            </w:pPr>
            <w:r>
              <w:rPr>
                <w:rFonts w:ascii="Times New Roman" w:hAnsi="Times New Roman"/>
                <w:b/>
                <w:sz w:val="18"/>
              </w:rPr>
              <w:t>Iznos</w:t>
            </w:r>
          </w:p>
        </w:tc>
        <w:tc>
          <w:tcPr>
            <w:shd w:val="clear" w:color="auto" w:fill="E7F0F9"/>
            <w:tcMar>
              <w:top w:w="0" w:type="dxa"/>
              <w:bottom w:w="0" w:type="dxa"/>
            </w:tcMar>
            <w:vAlign w:val="center"/>
          </w:tcPr>
          <w:p w14:paraId="24067C92">
            <w:pPr>
              <w:keepNext/>
              <w:keepLines/>
              <w:spacing w:before="0" w:after="0" w:line="240" w:lineRule="auto"/>
              <w:jc w:val="center"/>
            </w:pPr>
            <w:r>
              <w:rPr>
                <w:rFonts w:ascii="Times New Roman" w:hAnsi="Times New Roman"/>
                <w:b/>
                <w:sz w:val="18"/>
              </w:rPr>
              <w:t>Indeks (%)</w:t>
            </w:r>
          </w:p>
        </w:tc>
      </w:tr>
      <w:tr w14:paraId="3CDAE507">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23FF114">
            <w:pPr>
              <w:keepNext/>
              <w:keepLines/>
              <w:spacing w:before="0" w:after="0" w:line="240" w:lineRule="auto"/>
              <w:jc w:val="left"/>
            </w:pPr>
          </w:p>
        </w:tc>
        <w:tc>
          <w:tcPr>
            <w:tcMar>
              <w:top w:w="0" w:type="dxa"/>
              <w:bottom w:w="0" w:type="dxa"/>
            </w:tcMar>
            <w:vAlign w:val="center"/>
          </w:tcPr>
          <w:p w14:paraId="10BE2D67">
            <w:pPr>
              <w:keepNext/>
              <w:keepLines/>
              <w:spacing w:before="0" w:after="0" w:line="240" w:lineRule="auto"/>
              <w:jc w:val="left"/>
            </w:pPr>
            <w:r>
              <w:rPr>
                <w:rFonts w:ascii="Times New Roman" w:hAnsi="Times New Roman"/>
                <w:sz w:val="18"/>
              </w:rPr>
              <w:t>Stanje dospjelih obveza na kraju izvještajnog razdoblja (šifre V008+D23+D24 + 'D dio 25,26' + D27)</w:t>
            </w:r>
          </w:p>
        </w:tc>
        <w:tc>
          <w:tcPr>
            <w:tcMar>
              <w:top w:w="0" w:type="dxa"/>
              <w:bottom w:w="0" w:type="dxa"/>
            </w:tcMar>
            <w:vAlign w:val="center"/>
          </w:tcPr>
          <w:p w14:paraId="28EE7AAF">
            <w:pPr>
              <w:keepNext/>
              <w:keepLines/>
              <w:spacing w:before="0" w:after="0" w:line="240" w:lineRule="auto"/>
              <w:jc w:val="left"/>
            </w:pPr>
            <w:r>
              <w:rPr>
                <w:rFonts w:ascii="Times New Roman" w:hAnsi="Times New Roman"/>
                <w:sz w:val="18"/>
              </w:rPr>
              <w:t>V007</w:t>
            </w:r>
          </w:p>
        </w:tc>
        <w:tc>
          <w:tcPr>
            <w:tcMar>
              <w:top w:w="0" w:type="dxa"/>
              <w:bottom w:w="0" w:type="dxa"/>
            </w:tcMar>
            <w:vAlign w:val="center"/>
          </w:tcPr>
          <w:p w14:paraId="4570EFA4">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07F96010">
            <w:pPr>
              <w:keepNext/>
              <w:keepLines/>
              <w:spacing w:before="0" w:after="0" w:line="240" w:lineRule="auto"/>
              <w:jc w:val="right"/>
            </w:pPr>
            <w:r>
              <w:rPr>
                <w:rFonts w:ascii="Times New Roman" w:hAnsi="Times New Roman"/>
                <w:sz w:val="18"/>
              </w:rPr>
              <w:t>-</w:t>
            </w:r>
          </w:p>
        </w:tc>
      </w:tr>
    </w:tbl>
    <w:p w14:paraId="5113BF24">
      <w:pPr>
        <w:spacing w:before="0" w:after="0"/>
      </w:pPr>
    </w:p>
    <w:p w14:paraId="0C7D791C">
      <w:r>
        <w:t>Obaveze na kraju izvještajnog razdoblja odnose se na obaveze za zaposlene, obaveze za materijalno financijske rashode, obaveze za  nefinancijsku imovinu, te obaveze za bolovanje na teret HZZO.  Sve obaveze su nedospjele.</w:t>
      </w:r>
    </w:p>
    <w:p w14:paraId="29AF2D90"/>
    <w:p w14:paraId="680FB96B">
      <w:pPr>
        <w:keepNext/>
        <w:spacing w:line="240" w:lineRule="auto"/>
        <w:jc w:val="center"/>
      </w:pPr>
      <w:r>
        <w:rPr>
          <w:rFonts w:ascii="Times New Roman" w:hAnsi="Times New Roman"/>
          <w:sz w:val="28"/>
        </w:rPr>
        <w:t>Bilješka 18.</w:t>
      </w:r>
    </w:p>
    <w:p w14:paraId="6EF8A375">
      <w:pPr>
        <w:spacing w:line="240" w:lineRule="auto"/>
        <w:jc w:val="both"/>
      </w:pPr>
      <w:r>
        <w:rPr>
          <w:rFonts w:ascii="Times New Roman" w:hAnsi="Times New Roman"/>
          <w:b/>
          <w:sz w:val="24"/>
        </w:rPr>
        <w:t>EU izvještaj</w:t>
      </w:r>
    </w:p>
    <w:p w14:paraId="7B856BDE">
      <w:r>
        <w:t>NACIONALNO SUFINANCIRANJE:  BALTAZAR 8-sredstva primljena iz izvora 1.1. i 5.2.</w:t>
      </w:r>
    </w:p>
    <w:p w14:paraId="193E9A40">
      <w:r>
        <w:t>                                                      PROJEKTNO TEHNIČKA DOKUMENTACIJA  u iznosu od 2.500.00 €</w:t>
      </w:r>
    </w:p>
    <w:p w14:paraId="00E1B25A">
      <w:r>
        <w:t>510- PROGRAMI UNIJE : knjižena su sredstva  Erasmus + projekta</w:t>
      </w:r>
    </w:p>
    <w:p w14:paraId="63B70CEF">
      <w:r>
        <w:t>561- EUROPSKI SOCIJALNI FOND:  sredstva primljen iz izvora 5.7. projekt Baltazar 8</w:t>
      </w:r>
    </w:p>
    <w:p w14:paraId="5E40767F">
      <w:r>
        <w:t>581- MEHANIZAM ZA OPORAVAK I OTPORNOST: sredstva primljena iz izvora 5.7.1 a knjižena na konto 638 za PTD za izgradnju školskih zgrada</w:t>
      </w:r>
    </w:p>
    <w:p w14:paraId="63D117ED"/>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75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qFormat="1"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sz w:val="24"/>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2026-02-06T06:57:27Z</dcterms:created>
  <dc:creator>Ivan Paradi</dc:creator>
  <cp:lastModifiedBy>Ivan Paradi</cp:lastModifiedBy>
  <dcterms:modified xsi:type="dcterms:W3CDTF">2026-02-06T06:57:34Z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6B03A98F541A455CAAD8D7BB684B7D19_13</vt:lpwstr>
  </property>
</Properties>
</file>