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C5" w:rsidRPr="00997EE6" w:rsidRDefault="00AD5AC5" w:rsidP="00AD5AC5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:rsidR="00AD5AC5" w:rsidRPr="003D632B" w:rsidRDefault="00AD5AC5" w:rsidP="00AD5AC5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:rsidR="00AD5AC5" w:rsidRPr="003D632B" w:rsidRDefault="00AD5AC5" w:rsidP="00AD5AC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:rsidR="00AD5AC5" w:rsidRPr="003D632B" w:rsidRDefault="00AD5AC5" w:rsidP="00AD5AC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:rsidR="00AD5AC5" w:rsidRPr="003D632B" w:rsidRDefault="00AD5AC5" w:rsidP="00AD5AC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:rsidR="00AD5AC5" w:rsidRPr="003D632B" w:rsidRDefault="00AD5AC5" w:rsidP="00AD5AC5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AD5AC5" w:rsidRPr="003D632B" w:rsidRDefault="00AD5AC5" w:rsidP="00AD5A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AD5AC5" w:rsidRPr="003D632B" w:rsidRDefault="00AD5AC5" w:rsidP="00AD5AC5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:rsidR="00AD5AC5" w:rsidRPr="003D632B" w:rsidRDefault="00AD5AC5" w:rsidP="00AD5AC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AD5AC5" w:rsidRPr="003D632B" w:rsidRDefault="00AD5AC5" w:rsidP="00AD5AC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AD5AC5" w:rsidRPr="003D632B" w:rsidRDefault="00AD5AC5" w:rsidP="00AD5AC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AD5AC5" w:rsidRDefault="00AD5AC5" w:rsidP="00AD5AC5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:rsidR="00AD5AC5" w:rsidRPr="00A721FF" w:rsidRDefault="00AD5AC5" w:rsidP="00AD5AC5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:rsidR="00AD5AC5" w:rsidRDefault="00AD5AC5" w:rsidP="00AD5AC5">
      <w:pPr>
        <w:pStyle w:val="paragraph"/>
        <w:textAlignment w:val="baseline"/>
        <w:rPr>
          <w:rStyle w:val="eop"/>
        </w:rPr>
      </w:pPr>
    </w:p>
    <w:p w:rsidR="00AD5AC5" w:rsidRDefault="00AD5AC5" w:rsidP="00AD5AC5">
      <w:pPr>
        <w:pStyle w:val="paragraph"/>
        <w:textAlignment w:val="baseline"/>
        <w:rPr>
          <w:rStyle w:val="eop"/>
        </w:rPr>
      </w:pPr>
    </w:p>
    <w:p w:rsidR="00AD5AC5" w:rsidRDefault="00AD5AC5" w:rsidP="00AD5AC5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AD5AC5" w:rsidRPr="00B4176C" w:rsidTr="006540CE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D5AC5" w:rsidRPr="00C967A0" w:rsidRDefault="00AD5AC5" w:rsidP="006540CE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AD5AC5" w:rsidRPr="00D74C65" w:rsidTr="006540CE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FE02F9" w:rsidRDefault="00AD5AC5" w:rsidP="006540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A.3.1. Učenik razgovara i govori tekstove jednostavne strukture.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AD5AC5" w:rsidRPr="0082304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AD5AC5" w:rsidRPr="00823046" w:rsidRDefault="00AD5AC5" w:rsidP="006540CE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Prema predlošku te uz pomoć, pitanja i </w:t>
            </w:r>
            <w:proofErr w:type="spellStart"/>
            <w:r w:rsidRPr="00A31C87">
              <w:rPr>
                <w:rFonts w:cstheme="minorHAnsi"/>
                <w:bCs/>
                <w:sz w:val="24"/>
                <w:szCs w:val="24"/>
              </w:rPr>
              <w:t>podstrek</w:t>
            </w:r>
            <w:proofErr w:type="spellEnd"/>
            <w:r w:rsidRPr="00A31C87">
              <w:rPr>
                <w:rFonts w:cstheme="minorHAnsi"/>
                <w:bCs/>
                <w:sz w:val="24"/>
                <w:szCs w:val="24"/>
              </w:rPr>
              <w:t xml:space="preserve">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:rsidR="00AD5AC5" w:rsidRPr="00C967A0" w:rsidRDefault="00AD5AC5" w:rsidP="006540CE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pripovijeda događaje 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947942" w:rsidRDefault="00AD5AC5" w:rsidP="006540CE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lastRenderedPageBreak/>
              <w:t xml:space="preserve">Djelomično pripovijeda događaje nepreciznim i nepotpunim </w:t>
            </w:r>
            <w:r w:rsidRPr="00877FDB">
              <w:rPr>
                <w:rFonts w:cstheme="minorHAnsi"/>
                <w:sz w:val="24"/>
                <w:szCs w:val="24"/>
              </w:rPr>
              <w:lastRenderedPageBreak/>
              <w:t>kronološkim slijedom uz stalno navođenje.</w:t>
            </w:r>
          </w:p>
        </w:tc>
        <w:tc>
          <w:tcPr>
            <w:tcW w:w="2552" w:type="dxa"/>
            <w:gridSpan w:val="4"/>
          </w:tcPr>
          <w:p w:rsidR="00AD5AC5" w:rsidRPr="00947942" w:rsidRDefault="00AD5AC5" w:rsidP="006540CE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navođenje i povremeni poticaj pripovijeda događaje kronološkim slijedom,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sam teško uočava kronološki slijed.</w:t>
            </w:r>
          </w:p>
        </w:tc>
        <w:tc>
          <w:tcPr>
            <w:tcW w:w="2551" w:type="dxa"/>
          </w:tcPr>
          <w:p w:rsidR="00AD5AC5" w:rsidRPr="00947942" w:rsidRDefault="00AD5AC5" w:rsidP="006540CE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događaje kronološki te ih samostalno reda pravilnim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redoslijedom u jasnu i logičku cjelinu.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823046" w:rsidRDefault="00AD5AC5" w:rsidP="006540CE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E164BB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:rsidR="00AD5AC5" w:rsidRPr="008B5F3D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AD5AC5" w:rsidRPr="00E164B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AD5AC5" w:rsidRPr="00E164B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823046" w:rsidRDefault="00AD5AC5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E164BB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D5AC5" w:rsidRPr="008B5F3D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:rsidR="00AD5AC5" w:rsidRPr="008B5F3D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823046" w:rsidRDefault="00AD5AC5" w:rsidP="006540CE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823046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7257D0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/je i u oglednim i čestim riječima zbog nedovoljnog bogaćenja rječnika. Isključivo uz nekoliko ponavljanja za modelom uspješno </w:t>
            </w:r>
            <w:r>
              <w:rPr>
                <w:rFonts w:cstheme="minorHAnsi"/>
                <w:sz w:val="24"/>
                <w:szCs w:val="24"/>
              </w:rPr>
              <w:lastRenderedPageBreak/>
              <w:t>reproducira poznate i česte riječi.</w:t>
            </w:r>
          </w:p>
        </w:tc>
        <w:tc>
          <w:tcPr>
            <w:tcW w:w="2552" w:type="dxa"/>
            <w:gridSpan w:val="4"/>
          </w:tcPr>
          <w:p w:rsidR="00AD5AC5" w:rsidRPr="007257D0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D5AC5" w:rsidRPr="007257D0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:rsidR="00AD5AC5" w:rsidRPr="007257D0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AD5AC5" w:rsidRPr="00B4176C" w:rsidTr="006540CE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:rsidR="00AD5AC5" w:rsidRPr="00823046" w:rsidRDefault="00AD5AC5" w:rsidP="006540CE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614DA8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D5AC5" w:rsidRPr="0038133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 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AD5AC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:rsidR="00AD5AC5" w:rsidRPr="0038133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tekst, pamti pitanja i upute te na njih točno i s lakoćom odgovara, što ukazuje na aktivno slušanje i pretvorbu slušanog u razumijevanje i povratne informacije.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96D11" w:rsidRDefault="00AD5AC5" w:rsidP="006540CE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na pitanja 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:rsidR="00AD5AC5" w:rsidRPr="00B7585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AD5AC5" w:rsidRPr="00947942" w:rsidRDefault="00AD5AC5" w:rsidP="006540CE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96D11" w:rsidRDefault="00AD5AC5" w:rsidP="006540CE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AD5AC5" w:rsidRPr="00B7585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AD5AC5" w:rsidRPr="00B7585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AD5AC5" w:rsidRPr="00B7585B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96D11" w:rsidRDefault="00AD5AC5" w:rsidP="006540CE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ne prepričava slušani tekst, tek nakon nekoliko primjera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5AC5" w:rsidRPr="00947942" w:rsidRDefault="00AD5AC5" w:rsidP="006540CE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lijepo).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AD5AC5" w:rsidRPr="00196D1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 zadanoga zadatka.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AD5AC5" w:rsidRPr="006847A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AD5AC5" w:rsidRPr="00DE3AF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D5AC5" w:rsidRPr="00DE3AF1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835D2A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196D11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i objašnjava podatke u grafičkim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FE02F9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jednostavne tekstove prema zadanoj ili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AD5AC5" w:rsidRPr="00871D6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pojednostavljene zadatke.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:rsidR="00AD5AC5" w:rsidRPr="00871D6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zadane smjernice i upute.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AD5AC5" w:rsidRPr="00EB167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kreativno i gramatički i pravopisno pravilno.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F6752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AD5AC5" w:rsidRPr="00F6752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5AC5" w:rsidRPr="00F6752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F6752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D5AC5" w:rsidRPr="00F6752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>, ali i u prijepisu često griješi. Umanjenice i uvećanice rijetko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veliko početno slovo: imena ulica, trgova, naseljenih mjesta, voda i gora, ustanova u užem </w:t>
            </w: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veliko početno slovo: imena ulica, trgova, naseljenih mjesta, voda i gora, ustanova u užem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Ponavlja greške u pisanju velikoga slova što pokazuje nedovoljnu usvojenost pravila i primjenu istoga (neshvaćanje)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zbog nedovoljne uvježbanosti ili poimanja pravila o pisanju velikog slova.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točno ih primjenjuje u pisanju velikog početnog slova.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navođenje ih piše 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:rsidR="00AD5AC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:rsidR="00AD5AC5" w:rsidRPr="00804644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D74C65" w:rsidTr="006540CE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5C3B22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5C3B22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3392D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3392D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pridjeve uz imenice da bi stvorio življu i potpuniju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lastRenderedPageBreak/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lastRenderedPageBreak/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5C3B22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5C3B22" w:rsidRDefault="00AD5AC5" w:rsidP="006540CE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F3BB2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F47E46" w:rsidRDefault="00AD5AC5" w:rsidP="006540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>
              <w:rPr>
                <w:rFonts w:cstheme="minorHAnsi"/>
                <w:sz w:val="24"/>
              </w:rPr>
              <w:t xml:space="preserve"> u tekstu.</w:t>
            </w:r>
          </w:p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D5AC5" w:rsidRPr="00D74C65" w:rsidTr="006540CE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AD5AC5" w:rsidRDefault="00AD5AC5" w:rsidP="006540CE">
            <w:pPr>
              <w:rPr>
                <w:rFonts w:cstheme="minorHAnsi"/>
                <w:sz w:val="24"/>
              </w:rPr>
            </w:pPr>
          </w:p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:rsidR="00AD5AC5" w:rsidRPr="00804644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D74C65" w:rsidTr="006540CE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uočava uvjetovanost uporabe zavičajnoga idioma ili hrvatskoga standardnog jezika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</w:t>
            </w:r>
            <w:r w:rsidRPr="00F47E46">
              <w:rPr>
                <w:rFonts w:cstheme="minorHAnsi"/>
                <w:sz w:val="24"/>
              </w:rPr>
              <w:lastRenderedPageBreak/>
              <w:t>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 xml:space="preserve">uvjetovanost uporabe zavičajnoga idioma ili hrvatskoga standardnog jezika komunikacijskom </w:t>
            </w:r>
            <w:r w:rsidRPr="00F47E46">
              <w:rPr>
                <w:rFonts w:cstheme="minorHAnsi"/>
                <w:sz w:val="24"/>
              </w:rPr>
              <w:lastRenderedPageBreak/>
              <w:t>situacijom</w:t>
            </w:r>
            <w:r>
              <w:rPr>
                <w:rFonts w:cstheme="minorHAnsi"/>
                <w:sz w:val="24"/>
              </w:rPr>
              <w:t xml:space="preserve"> ukoliko su poznati ili daje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</w:t>
            </w:r>
            <w:r w:rsidRPr="00F47E46">
              <w:rPr>
                <w:rFonts w:cstheme="minorHAnsi"/>
                <w:sz w:val="24"/>
              </w:rPr>
              <w:lastRenderedPageBreak/>
              <w:t>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AD5AC5" w:rsidRPr="00D74C65" w:rsidTr="006540CE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D74C65" w:rsidTr="006540CE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1F3BB2" w:rsidRDefault="00AD5AC5" w:rsidP="006540CE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D5AC5" w:rsidRPr="001B1AA7" w:rsidRDefault="00AD5AC5" w:rsidP="006540CE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AD5AC5" w:rsidRPr="00614DA8" w:rsidRDefault="00AD5AC5" w:rsidP="006540CE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AD5AC5" w:rsidRPr="00DB1E3C" w:rsidTr="006540CE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DB1E3C" w:rsidRDefault="00AD5AC5" w:rsidP="006540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5AC5" w:rsidRPr="0093002C" w:rsidRDefault="00AD5AC5" w:rsidP="006540CE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  <w:tc>
          <w:tcPr>
            <w:tcW w:w="2551" w:type="dxa"/>
            <w:gridSpan w:val="2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  <w:tc>
          <w:tcPr>
            <w:tcW w:w="2551" w:type="dxa"/>
            <w:gridSpan w:val="2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i razlike između sadržaja i teme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lastRenderedPageBreak/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  <w:tc>
          <w:tcPr>
            <w:tcW w:w="2551" w:type="dxa"/>
            <w:gridSpan w:val="2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i razlike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sličnosti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sličnosti i razlike između sadržaja i teme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sličnosti i razlike između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elementima.</w:t>
            </w:r>
          </w:p>
        </w:tc>
        <w:tc>
          <w:tcPr>
            <w:tcW w:w="2551" w:type="dxa"/>
            <w:gridSpan w:val="2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DB1E3C" w:rsidRDefault="00AD5AC5" w:rsidP="006540CE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redoslijed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djelomično prepoznaje redoslijed događaja.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redoslijed događaja uz dodatna navođenja.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redoslijed događaja i izdvaja ga i nabraja.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izdvaja i nabraja redoslijed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 te samostalno formira rečenice.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4F6448" w:rsidRDefault="00AD5AC5" w:rsidP="006540CE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Default="00AD5AC5" w:rsidP="006540CE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AD5AC5" w:rsidRPr="00B4176C" w:rsidTr="006540CE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DB1E3C" w:rsidRDefault="00AD5AC5" w:rsidP="006540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AD5AC5" w:rsidRPr="008E3929" w:rsidRDefault="00AD5AC5" w:rsidP="006540CE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AD5AC5" w:rsidRPr="00B9265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5AC5" w:rsidRPr="00B9265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93002C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5AC5" w:rsidRPr="00B92655" w:rsidRDefault="00AD5AC5" w:rsidP="006540CE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:rsidR="00AD5AC5" w:rsidRPr="0093002C" w:rsidRDefault="00AD5AC5" w:rsidP="006540CE">
            <w:pPr>
              <w:rPr>
                <w:rFonts w:cstheme="minorHAnsi"/>
                <w:b/>
              </w:rPr>
            </w:pPr>
          </w:p>
        </w:tc>
      </w:tr>
      <w:tr w:rsidR="00AD5AC5" w:rsidRPr="00B4176C" w:rsidTr="006540CE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AD5AC5" w:rsidRPr="008E3929" w:rsidRDefault="00AD5AC5" w:rsidP="006540CE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DB1E3C" w:rsidTr="006540CE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:rsidR="00AD5AC5" w:rsidRPr="00DB1E3C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5AC5" w:rsidRPr="004F6448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:rsidR="00AD5AC5" w:rsidRPr="004F6448" w:rsidRDefault="00AD5AC5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2680" w:type="dxa"/>
            <w:tcBorders>
              <w:right w:val="double" w:sz="12" w:space="0" w:color="auto"/>
            </w:tcBorders>
          </w:tcPr>
          <w:p w:rsidR="00AD5AC5" w:rsidRPr="008E39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2B2629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predložak piše i crta slikovnicu,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glumi u igrokazu i crta strip.</w:t>
            </w:r>
          </w:p>
        </w:tc>
        <w:tc>
          <w:tcPr>
            <w:tcW w:w="2552" w:type="dxa"/>
            <w:gridSpan w:val="4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predlošku stvara neke od individualnih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uradaka:, piše i crta slikovnicu, glumi u igrokazu, piše pismo podrške, crta naslovnicu knjige, crta plakat, crta strip.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Stvara neke od individualnih uradaka:,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i crta slikovnicu, glumi u igrokazu, piše pismo podrške, crta naslovnicu knjige, crta plakat, crta strip.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Stvara različite individualne uratke: stvara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dijalektu/mjesnom govoru, piše i crta slikovnicu, glumi u igrokazu, stvara novinsku stranicu, piše pismo podrške, crta naslovnicu knjige, crta plakat, crta strip.</w:t>
            </w:r>
          </w:p>
          <w:p w:rsidR="00AD5AC5" w:rsidRPr="004F644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D5AC5" w:rsidRPr="00B4176C" w:rsidTr="006540CE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:rsidR="00AD5AC5" w:rsidRPr="002B2629" w:rsidRDefault="00AD5AC5" w:rsidP="006540CE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:rsidR="00AD5AC5" w:rsidRPr="00D76E7E" w:rsidRDefault="00AD5AC5" w:rsidP="006540CE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15877" w:type="dxa"/>
            <w:gridSpan w:val="10"/>
            <w:shd w:val="clear" w:color="auto" w:fill="C5E0B3" w:themeFill="accent6" w:themeFillTint="66"/>
          </w:tcPr>
          <w:p w:rsidR="00AD5AC5" w:rsidRPr="006414AD" w:rsidRDefault="00AD5AC5" w:rsidP="006540CE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AD5AC5" w:rsidRPr="00170F8F" w:rsidTr="006540CE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:rsidR="00AD5AC5" w:rsidRPr="00170F8F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38133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pronalazi i kombinira 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pronalazi i kombinira podatke iz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38133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ronalazi i kombinira podatke iz različitih izvora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AD5AC5" w:rsidRPr="00B4176C" w:rsidTr="006540CE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AD5AC5" w:rsidRPr="00D76E7E" w:rsidRDefault="00AD5AC5" w:rsidP="006540CE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5AC5" w:rsidRPr="00BA3E8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AD5AC5" w:rsidRPr="00BA3E8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5AC5" w:rsidRPr="00BA3E8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5AC5" w:rsidRPr="00BA3E8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170F8F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170F8F" w:rsidRDefault="00AD5AC5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1B34CF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1B34CF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D5AC5" w:rsidRPr="00C922C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C922C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AD5AC5" w:rsidRPr="00C922C6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D5AC5" w:rsidRPr="00B4176C" w:rsidTr="006540CE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AD5AC5" w:rsidRPr="001B34CF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Pr="00BE2B88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AD5AC5" w:rsidRPr="001B34CF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AD5AC5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AD5AC5" w:rsidRPr="001B34CF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170F8F" w:rsidTr="006540CE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5AC5" w:rsidRPr="00170F8F" w:rsidRDefault="00AD5AC5" w:rsidP="006540CE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AD5AC5" w:rsidRPr="00D74C65" w:rsidTr="006540CE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D5AC5" w:rsidRPr="00D74C65" w:rsidRDefault="00AD5AC5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D5AC5" w:rsidRPr="00B4176C" w:rsidTr="006540CE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D5AC5" w:rsidRPr="004C60F2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D5AC5" w:rsidRPr="00D76E7E" w:rsidRDefault="00AD5AC5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AD5AC5" w:rsidRPr="00B4176C" w:rsidTr="006540CE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AD5AC5" w:rsidRPr="002B2629" w:rsidRDefault="00AD5AC5" w:rsidP="006540CE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AD5AC5" w:rsidRPr="00B4176C" w:rsidTr="006540CE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AD5AC5" w:rsidRPr="00937612" w:rsidRDefault="00AD5AC5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AD5AC5" w:rsidRDefault="00AD5AC5" w:rsidP="006540CE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AD5AC5" w:rsidRDefault="00AD5AC5" w:rsidP="00AD5AC5">
      <w:pPr>
        <w:rPr>
          <w:rFonts w:cstheme="minorHAnsi"/>
        </w:rPr>
      </w:pPr>
    </w:p>
    <w:p w:rsidR="00487327" w:rsidRDefault="00487327">
      <w:bookmarkStart w:id="0" w:name="_GoBack"/>
      <w:bookmarkEnd w:id="0"/>
    </w:p>
    <w:sectPr w:rsidR="00487327" w:rsidSect="00AD5A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5"/>
    <w:rsid w:val="00487327"/>
    <w:rsid w:val="009B01BE"/>
    <w:rsid w:val="00A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7BA2E-E80D-4142-A00D-E353D51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A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AC5"/>
  </w:style>
  <w:style w:type="paragraph" w:styleId="Podnoje">
    <w:name w:val="footer"/>
    <w:basedOn w:val="Normal"/>
    <w:link w:val="PodnojeChar"/>
    <w:uiPriority w:val="99"/>
    <w:unhideWhenUsed/>
    <w:rsid w:val="00AD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AC5"/>
  </w:style>
  <w:style w:type="table" w:styleId="Reetkatablice">
    <w:name w:val="Table Grid"/>
    <w:basedOn w:val="Obinatablica"/>
    <w:uiPriority w:val="39"/>
    <w:rsid w:val="00AD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D5A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AC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AD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AD5AC5"/>
  </w:style>
  <w:style w:type="paragraph" w:customStyle="1" w:styleId="paragraph">
    <w:name w:val="paragraph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D5AC5"/>
  </w:style>
  <w:style w:type="character" w:customStyle="1" w:styleId="eop">
    <w:name w:val="eop"/>
    <w:basedOn w:val="Zadanifontodlomka"/>
    <w:rsid w:val="00AD5AC5"/>
  </w:style>
  <w:style w:type="paragraph" w:customStyle="1" w:styleId="box459469">
    <w:name w:val="box_459469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AD5A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AD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6317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2022-09-21T15:56:00Z</dcterms:created>
  <dcterms:modified xsi:type="dcterms:W3CDTF">2022-09-21T15:57:00Z</dcterms:modified>
</cp:coreProperties>
</file>